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89BA5" w14:textId="77777777" w:rsidR="002B42AF" w:rsidRDefault="002B42AF" w:rsidP="002B42AF">
      <w:pPr>
        <w:pStyle w:val="NormalWeb"/>
        <w:spacing w:before="0" w:beforeAutospacing="0" w:after="160" w:afterAutospacing="0" w:line="360" w:lineRule="auto"/>
        <w:jc w:val="center"/>
      </w:pPr>
      <w:r>
        <w:rPr>
          <w:b/>
          <w:bCs/>
          <w:color w:val="000000"/>
          <w:u w:val="single"/>
        </w:rPr>
        <w:t xml:space="preserve">District Court Makes the Mistake of Adopting Findings of Magistrate Judge: Eleventh Cir. Court Reiterates </w:t>
      </w:r>
      <w:proofErr w:type="gramStart"/>
      <w:r>
        <w:rPr>
          <w:b/>
          <w:bCs/>
          <w:color w:val="000000"/>
          <w:u w:val="single"/>
        </w:rPr>
        <w:t>to Not Weigh</w:t>
      </w:r>
      <w:proofErr w:type="gramEnd"/>
      <w:r>
        <w:rPr>
          <w:b/>
          <w:bCs/>
          <w:color w:val="000000"/>
          <w:u w:val="single"/>
        </w:rPr>
        <w:t xml:space="preserve"> Evidence at Summary Judgment Stage</w:t>
      </w:r>
    </w:p>
    <w:p w14:paraId="2747D3F2" w14:textId="77777777" w:rsidR="002B42AF" w:rsidRDefault="002B42AF" w:rsidP="002B42AF">
      <w:pPr>
        <w:pStyle w:val="NormalWeb"/>
        <w:spacing w:before="0" w:beforeAutospacing="0" w:after="160" w:afterAutospacing="0" w:line="360" w:lineRule="auto"/>
        <w:jc w:val="center"/>
      </w:pPr>
      <w:r>
        <w:rPr>
          <w:b/>
          <w:bCs/>
          <w:color w:val="000000"/>
          <w:u w:val="single"/>
        </w:rPr>
        <w:t>Or</w:t>
      </w:r>
    </w:p>
    <w:p w14:paraId="099ABDF0" w14:textId="458F60C6" w:rsidR="002B42AF" w:rsidRDefault="002B42AF" w:rsidP="002B42AF">
      <w:pPr>
        <w:pStyle w:val="NormalWeb"/>
        <w:spacing w:before="0" w:beforeAutospacing="0" w:after="160" w:afterAutospacing="0" w:line="360" w:lineRule="auto"/>
        <w:jc w:val="center"/>
      </w:pPr>
      <w:r>
        <w:rPr>
          <w:b/>
          <w:bCs/>
          <w:color w:val="000000"/>
          <w:u w:val="single"/>
        </w:rPr>
        <w:t>DON’</w:t>
      </w:r>
      <w:r>
        <w:rPr>
          <w:b/>
          <w:bCs/>
          <w:color w:val="000000"/>
          <w:u w:val="single"/>
        </w:rPr>
        <w:t>T WEIGH EVIDENCE AT</w:t>
      </w:r>
      <w:r>
        <w:rPr>
          <w:b/>
          <w:bCs/>
          <w:color w:val="000000"/>
          <w:u w:val="single"/>
        </w:rPr>
        <w:t xml:space="preserve"> SUMMARY JUDGEMENT STAGE: REITERARTES ELEVENTH CIR. COURT</w:t>
      </w:r>
    </w:p>
    <w:p w14:paraId="0C01B34D" w14:textId="77777777" w:rsidR="00D84077" w:rsidRPr="000F2B62" w:rsidRDefault="00D84077" w:rsidP="000F2B62">
      <w:pPr>
        <w:jc w:val="center"/>
        <w:rPr>
          <w:rFonts w:cs="Times New Roman"/>
          <w:b/>
          <w:szCs w:val="24"/>
          <w:u w:val="single"/>
        </w:rPr>
      </w:pPr>
    </w:p>
    <w:p w14:paraId="765AB160" w14:textId="77777777" w:rsidR="005C2005" w:rsidRPr="000F2B62" w:rsidRDefault="002060C5" w:rsidP="000F111C">
      <w:pPr>
        <w:spacing w:line="360" w:lineRule="auto"/>
        <w:jc w:val="both"/>
        <w:rPr>
          <w:rFonts w:cs="Times New Roman"/>
          <w:szCs w:val="24"/>
        </w:rPr>
      </w:pPr>
      <w:r w:rsidRPr="000F2B62">
        <w:rPr>
          <w:rFonts w:cs="Times New Roman"/>
          <w:szCs w:val="24"/>
        </w:rPr>
        <w:t xml:space="preserve">Palace </w:t>
      </w:r>
      <w:r w:rsidR="004F0210" w:rsidRPr="000F2B62">
        <w:rPr>
          <w:rFonts w:cs="Times New Roman"/>
          <w:szCs w:val="24"/>
        </w:rPr>
        <w:t>Holding, S.A. de C.V</w:t>
      </w:r>
      <w:r w:rsidR="000F111C">
        <w:rPr>
          <w:rFonts w:cs="Times New Roman"/>
          <w:szCs w:val="24"/>
        </w:rPr>
        <w:t xml:space="preserve"> (“Palace”)</w:t>
      </w:r>
      <w:r w:rsidR="004F0210" w:rsidRPr="000F2B62">
        <w:rPr>
          <w:rFonts w:cs="Times New Roman"/>
          <w:szCs w:val="24"/>
        </w:rPr>
        <w:t xml:space="preserve"> is a Mexican corporation in the hospitality industry, which owns and operates hotels, resorts and spas and sells wedding, meeting and vacation packages</w:t>
      </w:r>
      <w:r w:rsidR="006942CD">
        <w:rPr>
          <w:rFonts w:cs="Times New Roman"/>
          <w:szCs w:val="24"/>
        </w:rPr>
        <w:t>.</w:t>
      </w:r>
      <w:r w:rsidR="004F0210" w:rsidRPr="000F2B62">
        <w:rPr>
          <w:rFonts w:cs="Times New Roman"/>
          <w:szCs w:val="24"/>
        </w:rPr>
        <w:t xml:space="preserve"> Palace Holdings </w:t>
      </w:r>
      <w:r w:rsidR="006942CD">
        <w:rPr>
          <w:rFonts w:cs="Times New Roman"/>
          <w:szCs w:val="24"/>
        </w:rPr>
        <w:t>holds</w:t>
      </w:r>
      <w:r w:rsidR="004F0210" w:rsidRPr="000F2B62">
        <w:rPr>
          <w:rFonts w:cs="Times New Roman"/>
          <w:szCs w:val="24"/>
        </w:rPr>
        <w:t xml:space="preserve"> </w:t>
      </w:r>
      <w:r w:rsidR="004241E1" w:rsidRPr="000F2B62">
        <w:rPr>
          <w:rFonts w:cs="Times New Roman"/>
          <w:szCs w:val="24"/>
        </w:rPr>
        <w:t xml:space="preserve">registration for various trademarks related to the names of the hotels and resorts that the corporation operates. </w:t>
      </w:r>
      <w:r w:rsidR="00EC536C" w:rsidRPr="000F2B62">
        <w:rPr>
          <w:rFonts w:cs="Times New Roman"/>
          <w:szCs w:val="24"/>
        </w:rPr>
        <w:t>O</w:t>
      </w:r>
      <w:r w:rsidR="004241E1" w:rsidRPr="000F2B62">
        <w:rPr>
          <w:rFonts w:cs="Times New Roman"/>
          <w:szCs w:val="24"/>
        </w:rPr>
        <w:t xml:space="preserve">n February 1, 2016, Palace Holdings assigned the trademarks </w:t>
      </w:r>
      <w:r w:rsidR="006942CD">
        <w:rPr>
          <w:rFonts w:cs="Times New Roman"/>
          <w:szCs w:val="24"/>
        </w:rPr>
        <w:t>and entered into a</w:t>
      </w:r>
      <w:r w:rsidR="004241E1" w:rsidRPr="000F2B62">
        <w:rPr>
          <w:rFonts w:cs="Times New Roman"/>
          <w:szCs w:val="24"/>
        </w:rPr>
        <w:t xml:space="preserve"> licensing agreement with Heron to Palace Resorts, S.A. de C.V</w:t>
      </w:r>
      <w:r w:rsidR="000F111C">
        <w:rPr>
          <w:rFonts w:cs="Times New Roman"/>
          <w:szCs w:val="24"/>
        </w:rPr>
        <w:t xml:space="preserve">. </w:t>
      </w:r>
      <w:r w:rsidR="004241E1" w:rsidRPr="000F2B62">
        <w:rPr>
          <w:rFonts w:cs="Times New Roman"/>
          <w:szCs w:val="24"/>
        </w:rPr>
        <w:t>Vacation Tours- operating as “Vacation Store of Miami” and “Vacation Store”</w:t>
      </w:r>
      <w:r w:rsidR="006942CD">
        <w:rPr>
          <w:rFonts w:cs="Times New Roman"/>
          <w:szCs w:val="24"/>
        </w:rPr>
        <w:t xml:space="preserve"> which</w:t>
      </w:r>
      <w:r w:rsidR="004241E1" w:rsidRPr="000F2B62">
        <w:rPr>
          <w:rFonts w:cs="Times New Roman"/>
          <w:szCs w:val="24"/>
        </w:rPr>
        <w:t xml:space="preserve"> is a Florida</w:t>
      </w:r>
      <w:r w:rsidR="006942CD">
        <w:rPr>
          <w:rFonts w:cs="Times New Roman"/>
          <w:szCs w:val="24"/>
        </w:rPr>
        <w:t xml:space="preserve"> </w:t>
      </w:r>
      <w:proofErr w:type="gramStart"/>
      <w:r w:rsidR="006942CD">
        <w:rPr>
          <w:rFonts w:cs="Times New Roman"/>
          <w:szCs w:val="24"/>
        </w:rPr>
        <w:t>Corporation which</w:t>
      </w:r>
      <w:proofErr w:type="gramEnd"/>
      <w:r w:rsidR="006942CD">
        <w:rPr>
          <w:rFonts w:cs="Times New Roman"/>
          <w:szCs w:val="24"/>
        </w:rPr>
        <w:t xml:space="preserve"> operates</w:t>
      </w:r>
      <w:r w:rsidR="004241E1" w:rsidRPr="000F2B62">
        <w:rPr>
          <w:rFonts w:cs="Times New Roman"/>
          <w:szCs w:val="24"/>
        </w:rPr>
        <w:t xml:space="preserve"> as a reservation referral service for hotels and resorts of Palace. The wholesaler relationship with Palace </w:t>
      </w:r>
      <w:proofErr w:type="gramStart"/>
      <w:r w:rsidR="004241E1" w:rsidRPr="000F2B62">
        <w:rPr>
          <w:rFonts w:cs="Times New Roman"/>
          <w:szCs w:val="24"/>
        </w:rPr>
        <w:t>was later terminated</w:t>
      </w:r>
      <w:proofErr w:type="gramEnd"/>
      <w:r w:rsidR="004241E1" w:rsidRPr="000F2B62">
        <w:rPr>
          <w:rFonts w:cs="Times New Roman"/>
          <w:szCs w:val="24"/>
        </w:rPr>
        <w:t>. Media Insight Group, also a Florida Corporation, is the registrant of 40 domain names that allegedly infringe Palace</w:t>
      </w:r>
      <w:r w:rsidR="006942CD">
        <w:rPr>
          <w:rFonts w:cs="Times New Roman"/>
          <w:szCs w:val="24"/>
        </w:rPr>
        <w:t>’s</w:t>
      </w:r>
      <w:r w:rsidR="004241E1" w:rsidRPr="000F2B62">
        <w:rPr>
          <w:rFonts w:cs="Times New Roman"/>
          <w:szCs w:val="24"/>
        </w:rPr>
        <w:t xml:space="preserve"> trademarks. George A. Alvarez and Rosanna M. Mendez are officer/director(s) of Me</w:t>
      </w:r>
      <w:r w:rsidR="000F2B62">
        <w:rPr>
          <w:rFonts w:cs="Times New Roman"/>
          <w:szCs w:val="24"/>
        </w:rPr>
        <w:t>dia Insight and Vacation Store (</w:t>
      </w:r>
      <w:r w:rsidR="000776FA">
        <w:rPr>
          <w:rFonts w:cs="Times New Roman"/>
          <w:szCs w:val="24"/>
        </w:rPr>
        <w:t>“Defendants”</w:t>
      </w:r>
      <w:r w:rsidR="000F2B62">
        <w:rPr>
          <w:rFonts w:cs="Times New Roman"/>
          <w:szCs w:val="24"/>
        </w:rPr>
        <w:t>).</w:t>
      </w:r>
      <w:r w:rsidR="000F111C">
        <w:rPr>
          <w:rFonts w:cs="Times New Roman"/>
          <w:szCs w:val="24"/>
        </w:rPr>
        <w:t xml:space="preserve"> </w:t>
      </w:r>
      <w:r w:rsidR="004241E1" w:rsidRPr="000F2B62">
        <w:rPr>
          <w:rFonts w:cs="Times New Roman"/>
          <w:szCs w:val="24"/>
        </w:rPr>
        <w:t>Heron Development Corporation</w:t>
      </w:r>
      <w:r w:rsidR="000776FA">
        <w:rPr>
          <w:rFonts w:cs="Times New Roman"/>
          <w:szCs w:val="24"/>
        </w:rPr>
        <w:t xml:space="preserve"> (“Heron”)</w:t>
      </w:r>
      <w:r w:rsidR="004241E1" w:rsidRPr="000F2B62">
        <w:rPr>
          <w:rFonts w:cs="Times New Roman"/>
          <w:szCs w:val="24"/>
        </w:rPr>
        <w:t xml:space="preserve"> </w:t>
      </w:r>
      <w:r w:rsidR="005C2005" w:rsidRPr="000F2B62">
        <w:rPr>
          <w:rFonts w:cs="Times New Roman"/>
          <w:szCs w:val="24"/>
        </w:rPr>
        <w:t xml:space="preserve">is a Panamanian Company with its principal place of business in Panama City and is a wholesale commercial retailer of unsold resort inventory for </w:t>
      </w:r>
      <w:proofErr w:type="gramStart"/>
      <w:r w:rsidR="000F2B62">
        <w:rPr>
          <w:rFonts w:cs="Times New Roman"/>
          <w:szCs w:val="24"/>
        </w:rPr>
        <w:t>8</w:t>
      </w:r>
      <w:proofErr w:type="gramEnd"/>
      <w:r w:rsidR="000F2B62">
        <w:rPr>
          <w:rFonts w:cs="Times New Roman"/>
          <w:szCs w:val="24"/>
        </w:rPr>
        <w:t xml:space="preserve"> </w:t>
      </w:r>
      <w:r w:rsidR="005C2005" w:rsidRPr="000F2B62">
        <w:rPr>
          <w:rFonts w:cs="Times New Roman"/>
          <w:szCs w:val="24"/>
        </w:rPr>
        <w:t xml:space="preserve">properties </w:t>
      </w:r>
      <w:r w:rsidR="000F2B62">
        <w:rPr>
          <w:rFonts w:cs="Times New Roman"/>
          <w:szCs w:val="24"/>
        </w:rPr>
        <w:t xml:space="preserve">owned by Palace Resorts, which forms part of 13 marks registered by Palace Holdings. </w:t>
      </w:r>
      <w:r w:rsidR="005C2005" w:rsidRPr="000F2B62">
        <w:rPr>
          <w:rFonts w:cs="Times New Roman"/>
          <w:szCs w:val="24"/>
        </w:rPr>
        <w:t>Heron Development holds an exclusive license to use certain trademarks owned by Palace for marketin</w:t>
      </w:r>
      <w:r w:rsidR="000F2B62">
        <w:rPr>
          <w:rFonts w:cs="Times New Roman"/>
          <w:szCs w:val="24"/>
        </w:rPr>
        <w:t>g and promoting the abovementioned</w:t>
      </w:r>
      <w:r w:rsidR="005C2005" w:rsidRPr="000F2B62">
        <w:rPr>
          <w:rFonts w:cs="Times New Roman"/>
          <w:szCs w:val="24"/>
        </w:rPr>
        <w:t xml:space="preserve"> resorts, and also enforce and protect the trademarks from dilution and infringement in the United States.</w:t>
      </w:r>
      <w:r w:rsidR="000F111C">
        <w:rPr>
          <w:rFonts w:cs="Times New Roman"/>
          <w:szCs w:val="24"/>
        </w:rPr>
        <w:t xml:space="preserve"> </w:t>
      </w:r>
      <w:r w:rsidR="005B7C8B" w:rsidRPr="000F2B62">
        <w:rPr>
          <w:rFonts w:cs="Times New Roman"/>
          <w:szCs w:val="24"/>
        </w:rPr>
        <w:t>After termination of the wholesaler agreement, Palace brought a suit against</w:t>
      </w:r>
      <w:r w:rsidR="00B87891">
        <w:rPr>
          <w:rFonts w:cs="Times New Roman"/>
          <w:szCs w:val="24"/>
        </w:rPr>
        <w:t xml:space="preserve"> Vacation Tours in </w:t>
      </w:r>
      <w:r w:rsidR="00B87891" w:rsidRPr="00B87891">
        <w:t>the United States District Court for the Southern District of Florida</w:t>
      </w:r>
      <w:r w:rsidR="00B87891">
        <w:t xml:space="preserve"> (“District Court”)</w:t>
      </w:r>
      <w:r w:rsidR="00ED1727" w:rsidRPr="000F2B62">
        <w:rPr>
          <w:rFonts w:cs="Times New Roman"/>
          <w:szCs w:val="24"/>
        </w:rPr>
        <w:t xml:space="preserve">, claiming the effect of Anti- </w:t>
      </w:r>
      <w:r w:rsidR="006942CD" w:rsidRPr="000F2B62">
        <w:rPr>
          <w:rFonts w:cs="Times New Roman"/>
          <w:szCs w:val="24"/>
        </w:rPr>
        <w:t>Cyber squatting</w:t>
      </w:r>
      <w:r w:rsidR="00ED1727" w:rsidRPr="000F2B62">
        <w:rPr>
          <w:rFonts w:cs="Times New Roman"/>
          <w:szCs w:val="24"/>
        </w:rPr>
        <w:t xml:space="preserve"> Consumer Protection Act (</w:t>
      </w:r>
      <w:r w:rsidR="00B76E8B">
        <w:rPr>
          <w:rFonts w:cs="Times New Roman"/>
          <w:szCs w:val="24"/>
        </w:rPr>
        <w:t>“</w:t>
      </w:r>
      <w:r w:rsidR="00ED1727" w:rsidRPr="000F2B62">
        <w:rPr>
          <w:rFonts w:cs="Times New Roman"/>
          <w:szCs w:val="24"/>
        </w:rPr>
        <w:t>ACPA</w:t>
      </w:r>
      <w:r w:rsidR="00B76E8B">
        <w:rPr>
          <w:rFonts w:cs="Times New Roman"/>
          <w:szCs w:val="24"/>
        </w:rPr>
        <w:t>”</w:t>
      </w:r>
      <w:r w:rsidR="00ED1727" w:rsidRPr="000F2B62">
        <w:rPr>
          <w:rFonts w:cs="Times New Roman"/>
          <w:szCs w:val="24"/>
        </w:rPr>
        <w:t>), over the registration and use of 40 domain names, related to the Palace’s registered trademarks. The District Court, in granting summary judgement to Palace on this claim, also ordered Vacation Tours to pay statutory damages and determined that the case was “exceptional”, thus entitling Palace to attorney’s fees as well. Appealing against the same</w:t>
      </w:r>
      <w:r w:rsidR="00B87891">
        <w:rPr>
          <w:rFonts w:cs="Times New Roman"/>
          <w:szCs w:val="24"/>
        </w:rPr>
        <w:t xml:space="preserve"> </w:t>
      </w:r>
      <w:r w:rsidR="006942CD">
        <w:rPr>
          <w:rFonts w:cs="Times New Roman"/>
          <w:szCs w:val="24"/>
        </w:rPr>
        <w:t>before</w:t>
      </w:r>
      <w:r w:rsidR="00B87891" w:rsidRPr="00B87891">
        <w:t xml:space="preserve"> The </w:t>
      </w:r>
      <w:r w:rsidR="00B87891">
        <w:t>United States Court Of Appeals for t</w:t>
      </w:r>
      <w:r w:rsidR="00B87891" w:rsidRPr="00B87891">
        <w:t>he Eleventh Circuit</w:t>
      </w:r>
      <w:r w:rsidR="00B87891">
        <w:t xml:space="preserve"> (“Appellate Court”)</w:t>
      </w:r>
      <w:r w:rsidR="00ED1727" w:rsidRPr="00B87891">
        <w:t>,</w:t>
      </w:r>
      <w:r w:rsidR="00ED1727" w:rsidRPr="000F2B62">
        <w:rPr>
          <w:rFonts w:cs="Times New Roman"/>
          <w:szCs w:val="24"/>
        </w:rPr>
        <w:t xml:space="preserve"> Vacation Tours submitted that the district court made an error in adopting the magistrate judge’s factual findings, originally made in the context of deciding for preliminary injunction, since the evidence </w:t>
      </w:r>
      <w:proofErr w:type="gramStart"/>
      <w:r w:rsidR="00ED1727" w:rsidRPr="000F2B62">
        <w:rPr>
          <w:rFonts w:cs="Times New Roman"/>
          <w:szCs w:val="24"/>
        </w:rPr>
        <w:t>was weighed</w:t>
      </w:r>
      <w:proofErr w:type="gramEnd"/>
      <w:r w:rsidR="00ED1727" w:rsidRPr="000F2B62">
        <w:rPr>
          <w:rFonts w:cs="Times New Roman"/>
          <w:szCs w:val="24"/>
        </w:rPr>
        <w:t xml:space="preserve"> and the same is not done at the summary judgement stage. The Appellate Court accepted the submissions of Vacation Tours and ordered vacation of the </w:t>
      </w:r>
      <w:r w:rsidR="00B535AD" w:rsidRPr="000F2B62">
        <w:rPr>
          <w:rFonts w:cs="Times New Roman"/>
          <w:szCs w:val="24"/>
        </w:rPr>
        <w:t xml:space="preserve">summary judgement and final judgement, and remanded the case back to the District Court for further consideration. </w:t>
      </w:r>
    </w:p>
    <w:p w14:paraId="1053B9E5" w14:textId="77777777" w:rsidR="00B535AD" w:rsidRPr="000F2B62" w:rsidRDefault="00B535AD" w:rsidP="000F111C">
      <w:pPr>
        <w:spacing w:line="360" w:lineRule="auto"/>
        <w:jc w:val="both"/>
        <w:rPr>
          <w:rFonts w:cs="Times New Roman"/>
          <w:szCs w:val="24"/>
        </w:rPr>
      </w:pPr>
      <w:r w:rsidRPr="000F2B62">
        <w:rPr>
          <w:rFonts w:cs="Times New Roman"/>
          <w:szCs w:val="24"/>
        </w:rPr>
        <w:lastRenderedPageBreak/>
        <w:t>As on June 10, 2012, Vacatio</w:t>
      </w:r>
      <w:r w:rsidR="002C4F14" w:rsidRPr="000F2B62">
        <w:rPr>
          <w:rFonts w:cs="Times New Roman"/>
          <w:szCs w:val="24"/>
        </w:rPr>
        <w:t>n Tour</w:t>
      </w:r>
      <w:r w:rsidRPr="000F2B62">
        <w:rPr>
          <w:rFonts w:cs="Times New Roman"/>
          <w:szCs w:val="24"/>
        </w:rPr>
        <w:t xml:space="preserve"> and Palace Holdings entered into a wholesaler agreement, with specified rates and terms for booking rooms and other properties of Palace Resorts, through Vacation Tours and specified prohibition of unauthorised use or reproduction of Palace Holdings’ trademarks and infringement through domain names and ground for termination thereof. </w:t>
      </w:r>
      <w:r w:rsidR="002C4F14" w:rsidRPr="000F2B62">
        <w:rPr>
          <w:rFonts w:cs="Times New Roman"/>
          <w:szCs w:val="24"/>
        </w:rPr>
        <w:t>Soon after, Media Insight, functioning for Vacation Tour, began registering 40 domain names, which include</w:t>
      </w:r>
      <w:r w:rsidR="006942CD">
        <w:rPr>
          <w:rFonts w:cs="Times New Roman"/>
          <w:szCs w:val="24"/>
        </w:rPr>
        <w:t>d</w:t>
      </w:r>
      <w:r w:rsidR="002C4F14" w:rsidRPr="000F2B62">
        <w:rPr>
          <w:rFonts w:cs="Times New Roman"/>
          <w:szCs w:val="24"/>
        </w:rPr>
        <w:t xml:space="preserve"> the exact name or slight variation of the above listed Palace Holdings property. The websites with these domain names </w:t>
      </w:r>
      <w:proofErr w:type="gramStart"/>
      <w:r w:rsidR="002C4F14" w:rsidRPr="000F2B62">
        <w:rPr>
          <w:rFonts w:cs="Times New Roman"/>
          <w:szCs w:val="24"/>
        </w:rPr>
        <w:t>were designed</w:t>
      </w:r>
      <w:proofErr w:type="gramEnd"/>
      <w:r w:rsidR="002C4F14" w:rsidRPr="000F2B62">
        <w:rPr>
          <w:rFonts w:cs="Times New Roman"/>
          <w:szCs w:val="24"/>
        </w:rPr>
        <w:t xml:space="preserve"> to resemble authentic Palace Resorts</w:t>
      </w:r>
      <w:r w:rsidR="006942CD">
        <w:rPr>
          <w:rFonts w:cs="Times New Roman"/>
          <w:szCs w:val="24"/>
        </w:rPr>
        <w:t>’</w:t>
      </w:r>
      <w:r w:rsidR="002C4F14" w:rsidRPr="000F2B62">
        <w:rPr>
          <w:rFonts w:cs="Times New Roman"/>
          <w:szCs w:val="24"/>
        </w:rPr>
        <w:t xml:space="preserve"> websites</w:t>
      </w:r>
      <w:r w:rsidR="00BB256D" w:rsidRPr="000F2B62">
        <w:rPr>
          <w:rFonts w:cs="Times New Roman"/>
          <w:szCs w:val="24"/>
        </w:rPr>
        <w:t xml:space="preserve"> to market its reservation referral business and sell travel services to consumers. </w:t>
      </w:r>
      <w:proofErr w:type="gramStart"/>
      <w:r w:rsidR="00BB256D" w:rsidRPr="000F2B62">
        <w:rPr>
          <w:rFonts w:cs="Times New Roman"/>
          <w:szCs w:val="24"/>
        </w:rPr>
        <w:t>All of this w</w:t>
      </w:r>
      <w:r w:rsidR="00B87891">
        <w:rPr>
          <w:rFonts w:cs="Times New Roman"/>
          <w:szCs w:val="24"/>
        </w:rPr>
        <w:t>as effectuated by Vacation Tour</w:t>
      </w:r>
      <w:proofErr w:type="gramEnd"/>
      <w:r w:rsidR="00BB256D" w:rsidRPr="000F2B62">
        <w:rPr>
          <w:rFonts w:cs="Times New Roman"/>
          <w:szCs w:val="24"/>
        </w:rPr>
        <w:t xml:space="preserve"> without proper authorisation from</w:t>
      </w:r>
      <w:r w:rsidR="00D949C8" w:rsidRPr="000F2B62">
        <w:rPr>
          <w:rFonts w:cs="Times New Roman"/>
          <w:szCs w:val="24"/>
        </w:rPr>
        <w:t>,</w:t>
      </w:r>
      <w:r w:rsidR="00BB256D" w:rsidRPr="000F2B62">
        <w:rPr>
          <w:rFonts w:cs="Times New Roman"/>
          <w:szCs w:val="24"/>
        </w:rPr>
        <w:t xml:space="preserve"> or affiliation with Palace Holdings. </w:t>
      </w:r>
    </w:p>
    <w:p w14:paraId="770F5025" w14:textId="77777777" w:rsidR="00EC536C" w:rsidRPr="000F2B62" w:rsidRDefault="006C6859" w:rsidP="000F111C">
      <w:pPr>
        <w:spacing w:line="360" w:lineRule="auto"/>
        <w:jc w:val="both"/>
        <w:rPr>
          <w:rFonts w:cs="Times New Roman"/>
          <w:szCs w:val="24"/>
        </w:rPr>
      </w:pPr>
      <w:r w:rsidRPr="000F2B62">
        <w:rPr>
          <w:rFonts w:cs="Times New Roman"/>
          <w:szCs w:val="24"/>
        </w:rPr>
        <w:t>Basis</w:t>
      </w:r>
      <w:r w:rsidR="009E5B98" w:rsidRPr="000F2B62">
        <w:rPr>
          <w:rFonts w:cs="Times New Roman"/>
          <w:szCs w:val="24"/>
        </w:rPr>
        <w:t xml:space="preserve"> the use of infringing domain names,</w:t>
      </w:r>
      <w:r w:rsidRPr="000F2B62">
        <w:rPr>
          <w:rFonts w:cs="Times New Roman"/>
          <w:szCs w:val="24"/>
        </w:rPr>
        <w:t xml:space="preserve"> in 2014, Palace Holdings’ terminated the wholesaler contract with </w:t>
      </w:r>
      <w:r w:rsidR="009E5B98" w:rsidRPr="000F2B62">
        <w:rPr>
          <w:rFonts w:cs="Times New Roman"/>
          <w:szCs w:val="24"/>
        </w:rPr>
        <w:t>Vacation Tour, who, on receiving a cease and desist letter from Palace Holding, did not comply therewith, but responded with a proposed domain names license agreement</w:t>
      </w:r>
      <w:r w:rsidR="008453C2" w:rsidRPr="000F2B62">
        <w:rPr>
          <w:rFonts w:cs="Times New Roman"/>
          <w:szCs w:val="24"/>
        </w:rPr>
        <w:t xml:space="preserve">, seeking payment in exchange for transferring the impugned domain names, which was denied by Palace Holdings. Another cease and desist letter was issued to Mendez and Alvarez, stating several instances of consumer confusion resulting from the use of impugned domain names, the compliance which was refused by Vacation Tour. After termination of the wholesaler agreement with Vacation Tours, Palace Holdings entered into a licensing agreement with Heron Development Corporation, giving complete exclusivity of all related registered trademarks. In 2016, Palace Holdings assigned all of its rights, interests and obligation in the various registered marks, including the licensing agreement with Heron, to Palace Resorts. </w:t>
      </w:r>
      <w:r w:rsidR="00EC536C" w:rsidRPr="000F2B62">
        <w:rPr>
          <w:rFonts w:cs="Times New Roman"/>
          <w:szCs w:val="24"/>
        </w:rPr>
        <w:t xml:space="preserve">Therefore, Palace Resorts </w:t>
      </w:r>
      <w:proofErr w:type="gramStart"/>
      <w:r w:rsidR="00EC536C" w:rsidRPr="000F2B62">
        <w:rPr>
          <w:rFonts w:cs="Times New Roman"/>
          <w:szCs w:val="24"/>
        </w:rPr>
        <w:t>was impleaded</w:t>
      </w:r>
      <w:proofErr w:type="gramEnd"/>
      <w:r w:rsidR="00EC536C" w:rsidRPr="000F2B62">
        <w:rPr>
          <w:rFonts w:cs="Times New Roman"/>
          <w:szCs w:val="24"/>
        </w:rPr>
        <w:t xml:space="preserve"> as the Plaintiff and Palace Holdings retained t</w:t>
      </w:r>
      <w:r w:rsidR="000776FA">
        <w:rPr>
          <w:rFonts w:cs="Times New Roman"/>
          <w:szCs w:val="24"/>
        </w:rPr>
        <w:t>he position of a necessary non-</w:t>
      </w:r>
      <w:r w:rsidR="00EC536C" w:rsidRPr="000F2B62">
        <w:rPr>
          <w:rFonts w:cs="Times New Roman"/>
          <w:szCs w:val="24"/>
        </w:rPr>
        <w:t>party.</w:t>
      </w:r>
    </w:p>
    <w:p w14:paraId="21827FFF" w14:textId="77777777" w:rsidR="00E87518" w:rsidRPr="000F2B62" w:rsidRDefault="008453C2" w:rsidP="000F111C">
      <w:pPr>
        <w:spacing w:line="360" w:lineRule="auto"/>
        <w:jc w:val="both"/>
        <w:rPr>
          <w:rFonts w:cs="Times New Roman"/>
          <w:szCs w:val="24"/>
        </w:rPr>
      </w:pPr>
      <w:r w:rsidRPr="000F2B62">
        <w:rPr>
          <w:rFonts w:cs="Times New Roman"/>
          <w:szCs w:val="24"/>
        </w:rPr>
        <w:t>Following all this, Heron introduced a seven-count action in federal district court against Defendants, basis the infringement th</w:t>
      </w:r>
      <w:r w:rsidR="00E87518" w:rsidRPr="000F2B62">
        <w:rPr>
          <w:rFonts w:cs="Times New Roman"/>
          <w:szCs w:val="24"/>
        </w:rPr>
        <w:t xml:space="preserve">rough use of 40 domain names. Shortly after filing the lawsuit, Heron moved for preliminary injunction on all counts, in order to prohibit the defendants from using Palace’s trademarks on their websites and using infringing domain names </w:t>
      </w:r>
      <w:r w:rsidR="00B76E8B" w:rsidRPr="000F2B62">
        <w:rPr>
          <w:rFonts w:cs="Times New Roman"/>
          <w:szCs w:val="24"/>
        </w:rPr>
        <w:t>therefore</w:t>
      </w:r>
      <w:r w:rsidR="00E87518" w:rsidRPr="000F2B62">
        <w:rPr>
          <w:rFonts w:cs="Times New Roman"/>
          <w:szCs w:val="24"/>
        </w:rPr>
        <w:t xml:space="preserve">. The Defendants contended the same basis certain e-mail exchanges between them and Palace, which </w:t>
      </w:r>
      <w:proofErr w:type="gramStart"/>
      <w:r w:rsidR="006942CD">
        <w:rPr>
          <w:rFonts w:cs="Times New Roman"/>
          <w:szCs w:val="24"/>
        </w:rPr>
        <w:t>were</w:t>
      </w:r>
      <w:r w:rsidR="00E87518" w:rsidRPr="000F2B62">
        <w:rPr>
          <w:rFonts w:cs="Times New Roman"/>
          <w:szCs w:val="24"/>
        </w:rPr>
        <w:t xml:space="preserve"> eventually ruled out</w:t>
      </w:r>
      <w:proofErr w:type="gramEnd"/>
      <w:r w:rsidR="00E87518" w:rsidRPr="000F2B62">
        <w:rPr>
          <w:rFonts w:cs="Times New Roman"/>
          <w:szCs w:val="24"/>
        </w:rPr>
        <w:t xml:space="preserve"> by the magistrate judge, in their Report &amp; Recommendation (</w:t>
      </w:r>
      <w:r w:rsidR="000776FA">
        <w:rPr>
          <w:rFonts w:cs="Times New Roman"/>
          <w:szCs w:val="24"/>
        </w:rPr>
        <w:t>“</w:t>
      </w:r>
      <w:r w:rsidR="00E87518" w:rsidRPr="000F2B62">
        <w:rPr>
          <w:rFonts w:cs="Times New Roman"/>
          <w:szCs w:val="24"/>
        </w:rPr>
        <w:t>R&amp;R</w:t>
      </w:r>
      <w:r w:rsidR="000776FA">
        <w:rPr>
          <w:rFonts w:cs="Times New Roman"/>
          <w:szCs w:val="24"/>
        </w:rPr>
        <w:t>”</w:t>
      </w:r>
      <w:r w:rsidR="00E87518" w:rsidRPr="000F2B62">
        <w:rPr>
          <w:rFonts w:cs="Times New Roman"/>
          <w:szCs w:val="24"/>
        </w:rPr>
        <w:t xml:space="preserve">), post evidentiary hearing, stating that the Defendants had violated the ACPA. The magistrate judge also found the domain names to be confusingly similar and basis this, recommended the district court to enjoin defendants from registering the impugned domain names and forward the traffic on the defendant’s website back to </w:t>
      </w:r>
      <w:r w:rsidR="006942CD">
        <w:rPr>
          <w:rFonts w:cs="Times New Roman"/>
          <w:szCs w:val="24"/>
        </w:rPr>
        <w:t xml:space="preserve">the </w:t>
      </w:r>
      <w:r w:rsidR="00E87518" w:rsidRPr="000F2B62">
        <w:rPr>
          <w:rFonts w:cs="Times New Roman"/>
          <w:szCs w:val="24"/>
        </w:rPr>
        <w:t>appropriate Palace websites. The District Court eventually adopted the magistrate judge’s R&amp; R and allowed a preliminary injunction</w:t>
      </w:r>
      <w:r w:rsidR="00DD6E12" w:rsidRPr="000F2B62">
        <w:rPr>
          <w:rFonts w:cs="Times New Roman"/>
          <w:szCs w:val="24"/>
        </w:rPr>
        <w:t xml:space="preserve">. The Defendants appealed the order granting preliminary injunction as well, but a separate panel of the District Court dismissed the appeal as moot, since the District Court had entered final judgement. </w:t>
      </w:r>
    </w:p>
    <w:p w14:paraId="26752A7C" w14:textId="77777777" w:rsidR="00C57D02" w:rsidRPr="000F2B62" w:rsidRDefault="00E87518" w:rsidP="000F111C">
      <w:pPr>
        <w:spacing w:line="360" w:lineRule="auto"/>
        <w:jc w:val="both"/>
        <w:rPr>
          <w:rFonts w:cs="Times New Roman"/>
          <w:szCs w:val="24"/>
        </w:rPr>
      </w:pPr>
      <w:r w:rsidRPr="000F2B62">
        <w:rPr>
          <w:rFonts w:cs="Times New Roman"/>
          <w:szCs w:val="24"/>
        </w:rPr>
        <w:lastRenderedPageBreak/>
        <w:t xml:space="preserve">In </w:t>
      </w:r>
      <w:r w:rsidR="00AA10D2" w:rsidRPr="000F2B62">
        <w:rPr>
          <w:rFonts w:cs="Times New Roman"/>
          <w:szCs w:val="24"/>
        </w:rPr>
        <w:t xml:space="preserve">moving for summary judgement, basis </w:t>
      </w:r>
      <w:r w:rsidRPr="000F2B62">
        <w:rPr>
          <w:rFonts w:cs="Times New Roman"/>
          <w:szCs w:val="24"/>
        </w:rPr>
        <w:t>one of the counts, Heron</w:t>
      </w:r>
      <w:r w:rsidR="00B76E8B">
        <w:rPr>
          <w:rFonts w:cs="Times New Roman"/>
          <w:szCs w:val="24"/>
        </w:rPr>
        <w:t xml:space="preserve"> </w:t>
      </w:r>
      <w:r w:rsidRPr="000F2B62">
        <w:rPr>
          <w:rFonts w:cs="Times New Roman"/>
          <w:szCs w:val="24"/>
        </w:rPr>
        <w:t>alleged</w:t>
      </w:r>
      <w:r w:rsidR="008453C2" w:rsidRPr="000F2B62">
        <w:rPr>
          <w:rFonts w:cs="Times New Roman"/>
          <w:szCs w:val="24"/>
        </w:rPr>
        <w:t xml:space="preserve"> </w:t>
      </w:r>
      <w:r w:rsidR="006942CD" w:rsidRPr="000F2B62">
        <w:rPr>
          <w:rFonts w:cs="Times New Roman"/>
          <w:szCs w:val="24"/>
        </w:rPr>
        <w:t>cyber squatting</w:t>
      </w:r>
      <w:r w:rsidR="008453C2" w:rsidRPr="000F2B62">
        <w:rPr>
          <w:rFonts w:cs="Times New Roman"/>
          <w:szCs w:val="24"/>
        </w:rPr>
        <w:t xml:space="preserve"> in violation of the ACPA</w:t>
      </w:r>
      <w:r w:rsidR="00B836FD" w:rsidRPr="000F2B62">
        <w:rPr>
          <w:rFonts w:cs="Times New Roman"/>
          <w:szCs w:val="24"/>
        </w:rPr>
        <w:t xml:space="preserve">. </w:t>
      </w:r>
      <w:proofErr w:type="gramStart"/>
      <w:r w:rsidR="00B836FD" w:rsidRPr="000F2B62">
        <w:rPr>
          <w:rFonts w:cs="Times New Roman"/>
          <w:szCs w:val="24"/>
        </w:rPr>
        <w:t xml:space="preserve">This was contended by </w:t>
      </w:r>
      <w:r w:rsidR="00AA10D2" w:rsidRPr="000F2B62">
        <w:rPr>
          <w:rFonts w:cs="Times New Roman"/>
          <w:szCs w:val="24"/>
        </w:rPr>
        <w:t>Defendants</w:t>
      </w:r>
      <w:proofErr w:type="gramEnd"/>
      <w:r w:rsidR="00B836FD" w:rsidRPr="000F2B62">
        <w:rPr>
          <w:rFonts w:cs="Times New Roman"/>
          <w:szCs w:val="24"/>
        </w:rPr>
        <w:t xml:space="preserve"> on four reasons:</w:t>
      </w:r>
    </w:p>
    <w:p w14:paraId="77EBB082" w14:textId="77777777" w:rsidR="00C57D02" w:rsidRPr="000F2B62" w:rsidRDefault="00B836FD" w:rsidP="000F111C">
      <w:pPr>
        <w:pStyle w:val="ListParagraph"/>
        <w:numPr>
          <w:ilvl w:val="0"/>
          <w:numId w:val="3"/>
        </w:numPr>
        <w:spacing w:line="360" w:lineRule="auto"/>
        <w:jc w:val="both"/>
        <w:rPr>
          <w:rFonts w:cs="Times New Roman"/>
          <w:szCs w:val="24"/>
        </w:rPr>
      </w:pPr>
      <w:r w:rsidRPr="000F2B62">
        <w:rPr>
          <w:rFonts w:cs="Times New Roman"/>
          <w:szCs w:val="24"/>
        </w:rPr>
        <w:t xml:space="preserve">first, challenging Palace Resorts’ ownership of the marks; </w:t>
      </w:r>
    </w:p>
    <w:p w14:paraId="27DF66C9" w14:textId="77777777" w:rsidR="00C57D02" w:rsidRPr="000F2B62" w:rsidRDefault="00B836FD" w:rsidP="000F111C">
      <w:pPr>
        <w:pStyle w:val="ListParagraph"/>
        <w:numPr>
          <w:ilvl w:val="0"/>
          <w:numId w:val="3"/>
        </w:numPr>
        <w:spacing w:line="360" w:lineRule="auto"/>
        <w:jc w:val="both"/>
        <w:rPr>
          <w:rFonts w:cs="Times New Roman"/>
          <w:szCs w:val="24"/>
        </w:rPr>
      </w:pPr>
      <w:r w:rsidRPr="000F2B62">
        <w:rPr>
          <w:rFonts w:cs="Times New Roman"/>
          <w:szCs w:val="24"/>
        </w:rPr>
        <w:t xml:space="preserve">second, </w:t>
      </w:r>
      <w:r w:rsidR="00AA10D2" w:rsidRPr="000F2B62">
        <w:rPr>
          <w:rFonts w:cs="Times New Roman"/>
          <w:szCs w:val="24"/>
        </w:rPr>
        <w:t>Defendants</w:t>
      </w:r>
      <w:r w:rsidRPr="000F2B62">
        <w:rPr>
          <w:rFonts w:cs="Times New Roman"/>
          <w:szCs w:val="24"/>
        </w:rPr>
        <w:t xml:space="preserve"> stating that the license agreement between Heron and Palace Resorts is a “naked license” or fails to contain quality control provisions;</w:t>
      </w:r>
    </w:p>
    <w:p w14:paraId="4076F4BA" w14:textId="77777777" w:rsidR="00C57D02" w:rsidRPr="000F2B62" w:rsidRDefault="00B836FD" w:rsidP="000F111C">
      <w:pPr>
        <w:pStyle w:val="ListParagraph"/>
        <w:numPr>
          <w:ilvl w:val="0"/>
          <w:numId w:val="3"/>
        </w:numPr>
        <w:spacing w:line="360" w:lineRule="auto"/>
        <w:jc w:val="both"/>
        <w:rPr>
          <w:rFonts w:cs="Times New Roman"/>
          <w:szCs w:val="24"/>
        </w:rPr>
      </w:pPr>
      <w:r w:rsidRPr="000F2B62">
        <w:rPr>
          <w:rFonts w:cs="Times New Roman"/>
          <w:szCs w:val="24"/>
        </w:rPr>
        <w:t xml:space="preserve">third, </w:t>
      </w:r>
      <w:r w:rsidR="00AA10D2" w:rsidRPr="000F2B62">
        <w:rPr>
          <w:rFonts w:cs="Times New Roman"/>
          <w:szCs w:val="24"/>
        </w:rPr>
        <w:t>Defendants</w:t>
      </w:r>
      <w:r w:rsidRPr="000F2B62">
        <w:rPr>
          <w:rFonts w:cs="Times New Roman"/>
          <w:szCs w:val="24"/>
        </w:rPr>
        <w:t xml:space="preserve"> stating that the assignment of marks was an invalid “assignment in gross”; </w:t>
      </w:r>
    </w:p>
    <w:p w14:paraId="2E9756E4" w14:textId="77777777" w:rsidR="00B836FD" w:rsidRPr="000F2B62" w:rsidRDefault="00C57D02" w:rsidP="000F111C">
      <w:pPr>
        <w:pStyle w:val="ListParagraph"/>
        <w:numPr>
          <w:ilvl w:val="0"/>
          <w:numId w:val="3"/>
        </w:numPr>
        <w:spacing w:line="360" w:lineRule="auto"/>
        <w:jc w:val="both"/>
        <w:rPr>
          <w:rFonts w:cs="Times New Roman"/>
          <w:szCs w:val="24"/>
        </w:rPr>
      </w:pPr>
      <w:r w:rsidRPr="000F2B62">
        <w:rPr>
          <w:rFonts w:cs="Times New Roman"/>
          <w:szCs w:val="24"/>
        </w:rPr>
        <w:t>Fourth</w:t>
      </w:r>
      <w:r w:rsidR="00B836FD" w:rsidRPr="000F2B62">
        <w:rPr>
          <w:rFonts w:cs="Times New Roman"/>
          <w:szCs w:val="24"/>
        </w:rPr>
        <w:t xml:space="preserve">, </w:t>
      </w:r>
      <w:r w:rsidR="00AA10D2" w:rsidRPr="000F2B62">
        <w:rPr>
          <w:rFonts w:cs="Times New Roman"/>
          <w:szCs w:val="24"/>
        </w:rPr>
        <w:t>Defendants</w:t>
      </w:r>
      <w:r w:rsidR="00B836FD" w:rsidRPr="000F2B62">
        <w:rPr>
          <w:rFonts w:cs="Times New Roman"/>
          <w:szCs w:val="24"/>
        </w:rPr>
        <w:t xml:space="preserve"> stating that Palace Resorts abandoned the marks by failing to use them in commerce.  </w:t>
      </w:r>
    </w:p>
    <w:p w14:paraId="7EED4210" w14:textId="77777777" w:rsidR="00C57D02" w:rsidRPr="000F2B62" w:rsidRDefault="00B836FD" w:rsidP="000F111C">
      <w:pPr>
        <w:spacing w:line="360" w:lineRule="auto"/>
        <w:jc w:val="both"/>
        <w:rPr>
          <w:rFonts w:cs="Times New Roman"/>
          <w:szCs w:val="24"/>
        </w:rPr>
      </w:pPr>
      <w:r w:rsidRPr="000F2B62">
        <w:rPr>
          <w:rFonts w:cs="Times New Roman"/>
          <w:szCs w:val="24"/>
        </w:rPr>
        <w:t xml:space="preserve">The reasons failed as follows: </w:t>
      </w:r>
    </w:p>
    <w:p w14:paraId="6F0C6CD3" w14:textId="77777777" w:rsidR="00C57D02" w:rsidRPr="000F2B62" w:rsidRDefault="00B836FD" w:rsidP="000F111C">
      <w:pPr>
        <w:pStyle w:val="ListParagraph"/>
        <w:numPr>
          <w:ilvl w:val="0"/>
          <w:numId w:val="2"/>
        </w:numPr>
        <w:spacing w:line="360" w:lineRule="auto"/>
        <w:jc w:val="both"/>
        <w:rPr>
          <w:rFonts w:cs="Times New Roman"/>
          <w:szCs w:val="24"/>
        </w:rPr>
      </w:pPr>
      <w:r w:rsidRPr="000F2B62">
        <w:rPr>
          <w:rFonts w:cs="Times New Roman"/>
          <w:szCs w:val="24"/>
        </w:rPr>
        <w:t xml:space="preserve">first; </w:t>
      </w:r>
      <w:r w:rsidR="00AA10D2" w:rsidRPr="000F2B62">
        <w:rPr>
          <w:rFonts w:cs="Times New Roman"/>
          <w:szCs w:val="24"/>
        </w:rPr>
        <w:t>Defendants</w:t>
      </w:r>
      <w:r w:rsidRPr="000F2B62">
        <w:rPr>
          <w:rFonts w:cs="Times New Roman"/>
          <w:szCs w:val="24"/>
        </w:rPr>
        <w:t xml:space="preserve"> failed to provide sufficient evidence in support of argument; </w:t>
      </w:r>
    </w:p>
    <w:p w14:paraId="4AB7D529" w14:textId="77777777" w:rsidR="00C57D02" w:rsidRPr="000F2B62" w:rsidRDefault="00B836FD" w:rsidP="000F111C">
      <w:pPr>
        <w:pStyle w:val="ListParagraph"/>
        <w:numPr>
          <w:ilvl w:val="0"/>
          <w:numId w:val="2"/>
        </w:numPr>
        <w:spacing w:line="360" w:lineRule="auto"/>
        <w:jc w:val="both"/>
        <w:rPr>
          <w:rFonts w:cs="Times New Roman"/>
          <w:szCs w:val="24"/>
        </w:rPr>
      </w:pPr>
      <w:r w:rsidRPr="000F2B62">
        <w:rPr>
          <w:rFonts w:cs="Times New Roman"/>
          <w:szCs w:val="24"/>
        </w:rPr>
        <w:t xml:space="preserve">second, </w:t>
      </w:r>
      <w:r w:rsidR="00AA10D2" w:rsidRPr="000F2B62">
        <w:rPr>
          <w:rFonts w:cs="Times New Roman"/>
          <w:szCs w:val="24"/>
        </w:rPr>
        <w:t>Defendants</w:t>
      </w:r>
      <w:r w:rsidRPr="000F2B62">
        <w:rPr>
          <w:rFonts w:cs="Times New Roman"/>
          <w:szCs w:val="24"/>
        </w:rPr>
        <w:t xml:space="preserve"> missed the mark in substantiating lack of quality control within Heron’s use and propagation of Palace Resorts’ marks; </w:t>
      </w:r>
    </w:p>
    <w:p w14:paraId="09795F23" w14:textId="77777777" w:rsidR="00C57D02" w:rsidRPr="000F2B62" w:rsidRDefault="00B836FD" w:rsidP="000F111C">
      <w:pPr>
        <w:pStyle w:val="ListParagraph"/>
        <w:numPr>
          <w:ilvl w:val="0"/>
          <w:numId w:val="2"/>
        </w:numPr>
        <w:spacing w:line="360" w:lineRule="auto"/>
        <w:jc w:val="both"/>
        <w:rPr>
          <w:rFonts w:cs="Times New Roman"/>
          <w:szCs w:val="24"/>
        </w:rPr>
      </w:pPr>
      <w:proofErr w:type="gramStart"/>
      <w:r w:rsidRPr="000F2B62">
        <w:rPr>
          <w:rFonts w:cs="Times New Roman"/>
          <w:szCs w:val="24"/>
        </w:rPr>
        <w:t xml:space="preserve">third, it was observed that the use of assigned trademarks by Palace Resorts and Palace Holdings was exactly similar in selling products and services assigned thereto and thus, presented no risk of invalid “assignment in gross”, as stated in </w:t>
      </w:r>
      <w:r w:rsidRPr="000F2B62">
        <w:rPr>
          <w:rFonts w:cs="Times New Roman"/>
          <w:i/>
          <w:szCs w:val="24"/>
        </w:rPr>
        <w:t xml:space="preserve">Purity Cheese Co. v. Frank Ryser Co. , 153 F.2d 88, 90 (7th Cir. 1946) </w:t>
      </w:r>
      <w:r w:rsidRPr="000F2B62">
        <w:rPr>
          <w:rFonts w:cs="Times New Roman"/>
          <w:szCs w:val="24"/>
        </w:rPr>
        <w:t>(“A trade-mark may be assigned, licensed, or lent, as long as it r</w:t>
      </w:r>
      <w:r w:rsidR="00C57D02" w:rsidRPr="000F2B62">
        <w:rPr>
          <w:rFonts w:cs="Times New Roman"/>
          <w:szCs w:val="24"/>
        </w:rPr>
        <w:t>emains associated with the sam</w:t>
      </w:r>
      <w:r w:rsidRPr="000F2B62">
        <w:rPr>
          <w:rFonts w:cs="Times New Roman"/>
          <w:szCs w:val="24"/>
        </w:rPr>
        <w:t>e product or b</w:t>
      </w:r>
      <w:r w:rsidR="00C57D02" w:rsidRPr="000F2B62">
        <w:rPr>
          <w:rFonts w:cs="Times New Roman"/>
          <w:szCs w:val="24"/>
        </w:rPr>
        <w:t>usiness with which it has becom</w:t>
      </w:r>
      <w:r w:rsidRPr="000F2B62">
        <w:rPr>
          <w:rFonts w:cs="Times New Roman"/>
          <w:szCs w:val="24"/>
        </w:rPr>
        <w:t>e associated in the public mind . . . .'')</w:t>
      </w:r>
      <w:r w:rsidR="00C57D02" w:rsidRPr="000F2B62">
        <w:rPr>
          <w:rFonts w:cs="Times New Roman"/>
          <w:szCs w:val="24"/>
        </w:rPr>
        <w:t>;</w:t>
      </w:r>
      <w:proofErr w:type="gramEnd"/>
      <w:r w:rsidR="00C57D02" w:rsidRPr="000F2B62">
        <w:rPr>
          <w:rFonts w:cs="Times New Roman"/>
          <w:szCs w:val="24"/>
        </w:rPr>
        <w:t xml:space="preserve"> </w:t>
      </w:r>
    </w:p>
    <w:p w14:paraId="10438202" w14:textId="77777777" w:rsidR="00B836FD" w:rsidRPr="000F2B62" w:rsidRDefault="00AA10D2" w:rsidP="000F111C">
      <w:pPr>
        <w:pStyle w:val="ListParagraph"/>
        <w:numPr>
          <w:ilvl w:val="0"/>
          <w:numId w:val="2"/>
        </w:numPr>
        <w:spacing w:line="360" w:lineRule="auto"/>
        <w:jc w:val="both"/>
        <w:rPr>
          <w:rFonts w:cs="Times New Roman"/>
          <w:szCs w:val="24"/>
        </w:rPr>
      </w:pPr>
      <w:r w:rsidRPr="000F2B62">
        <w:rPr>
          <w:rFonts w:cs="Times New Roman"/>
          <w:szCs w:val="24"/>
        </w:rPr>
        <w:t>Fourth</w:t>
      </w:r>
      <w:r w:rsidR="00C57D02" w:rsidRPr="000F2B62">
        <w:rPr>
          <w:rFonts w:cs="Times New Roman"/>
          <w:szCs w:val="24"/>
        </w:rPr>
        <w:t xml:space="preserve">, it </w:t>
      </w:r>
      <w:proofErr w:type="gramStart"/>
      <w:r w:rsidR="00C57D02" w:rsidRPr="000F2B62">
        <w:rPr>
          <w:rFonts w:cs="Times New Roman"/>
          <w:szCs w:val="24"/>
        </w:rPr>
        <w:t>was clearly established</w:t>
      </w:r>
      <w:proofErr w:type="gramEnd"/>
      <w:r w:rsidR="00C57D02" w:rsidRPr="000F2B62">
        <w:rPr>
          <w:rFonts w:cs="Times New Roman"/>
          <w:szCs w:val="24"/>
        </w:rPr>
        <w:t xml:space="preserve"> by Palace Resorts that the marks assigned to them satisfy the “use in commerce” by using said marks to advertise and sell hotel services to U.S. customers over the internet. </w:t>
      </w:r>
    </w:p>
    <w:p w14:paraId="08DF345D" w14:textId="77777777" w:rsidR="00EC536C" w:rsidRPr="000F2B62" w:rsidRDefault="00C57D02" w:rsidP="000F111C">
      <w:pPr>
        <w:spacing w:line="360" w:lineRule="auto"/>
        <w:jc w:val="both"/>
        <w:rPr>
          <w:rFonts w:cs="Times New Roman"/>
          <w:szCs w:val="24"/>
        </w:rPr>
      </w:pPr>
      <w:proofErr w:type="gramStart"/>
      <w:r w:rsidRPr="000F2B62">
        <w:rPr>
          <w:rFonts w:cs="Times New Roman"/>
          <w:szCs w:val="24"/>
        </w:rPr>
        <w:t xml:space="preserve">In concretising their claim of </w:t>
      </w:r>
      <w:r w:rsidR="00AD7A11" w:rsidRPr="000F2B62">
        <w:rPr>
          <w:rFonts w:cs="Times New Roman"/>
          <w:szCs w:val="24"/>
        </w:rPr>
        <w:t>cyber squatting</w:t>
      </w:r>
      <w:r w:rsidRPr="000F2B62">
        <w:rPr>
          <w:rFonts w:cs="Times New Roman"/>
          <w:szCs w:val="24"/>
        </w:rPr>
        <w:t xml:space="preserve">, Palace Resorts further went on to prove the four elements through evidence: (1) </w:t>
      </w:r>
      <w:r w:rsidR="00AA10D2" w:rsidRPr="000F2B62">
        <w:rPr>
          <w:rFonts w:cs="Times New Roman"/>
          <w:szCs w:val="24"/>
        </w:rPr>
        <w:t>Defendants</w:t>
      </w:r>
      <w:r w:rsidRPr="000F2B62">
        <w:rPr>
          <w:rFonts w:cs="Times New Roman"/>
          <w:szCs w:val="24"/>
        </w:rPr>
        <w:t xml:space="preserve"> registered, trafficked in or used domain names; (2) which are identical or confusingly similar to marks owned by Palace Resorts; (3) the marks were distinctive at the time of registration of domain name by </w:t>
      </w:r>
      <w:r w:rsidR="00AA10D2" w:rsidRPr="000F2B62">
        <w:rPr>
          <w:rFonts w:cs="Times New Roman"/>
          <w:szCs w:val="24"/>
        </w:rPr>
        <w:t>Defendants</w:t>
      </w:r>
      <w:r w:rsidRPr="000F2B62">
        <w:rPr>
          <w:rFonts w:cs="Times New Roman"/>
          <w:szCs w:val="24"/>
        </w:rPr>
        <w:t>; and (4) the acts were committed with bad faith intent to profit from Palace Resorts’ mark.</w:t>
      </w:r>
      <w:proofErr w:type="gramEnd"/>
      <w:r w:rsidR="00E87518" w:rsidRPr="000F2B62">
        <w:rPr>
          <w:rFonts w:cs="Times New Roman"/>
          <w:szCs w:val="24"/>
        </w:rPr>
        <w:t xml:space="preserve"> Having established sufficient evidence for all the above, the District Court granted the motion for summary judgement on count of </w:t>
      </w:r>
      <w:r w:rsidR="00AD7A11" w:rsidRPr="000F2B62">
        <w:rPr>
          <w:rFonts w:cs="Times New Roman"/>
          <w:szCs w:val="24"/>
        </w:rPr>
        <w:t>cyber squatting</w:t>
      </w:r>
      <w:r w:rsidR="00E87518" w:rsidRPr="000F2B62">
        <w:rPr>
          <w:rFonts w:cs="Times New Roman"/>
          <w:szCs w:val="24"/>
        </w:rPr>
        <w:t>.</w:t>
      </w:r>
      <w:r w:rsidR="00AA10D2" w:rsidRPr="000F2B62">
        <w:rPr>
          <w:rFonts w:cs="Times New Roman"/>
          <w:szCs w:val="24"/>
        </w:rPr>
        <w:t xml:space="preserve"> The Court also observed that the Defendants had raised affirmative defences, but since no additional evidence since the </w:t>
      </w:r>
      <w:proofErr w:type="gramStart"/>
      <w:r w:rsidR="00AA10D2" w:rsidRPr="000F2B62">
        <w:rPr>
          <w:rFonts w:cs="Times New Roman"/>
          <w:szCs w:val="24"/>
        </w:rPr>
        <w:t>issuance of R&amp;R was offered by the Defendants</w:t>
      </w:r>
      <w:proofErr w:type="gramEnd"/>
      <w:r w:rsidR="00AA10D2" w:rsidRPr="000F2B62">
        <w:rPr>
          <w:rFonts w:cs="Times New Roman"/>
          <w:szCs w:val="24"/>
        </w:rPr>
        <w:t xml:space="preserve">, the District Court adopted the Magistrate Judge’s earlier findings of fact. The Plaintiffs, being Heron and Palace Resorts, then jointly applied to dismiss all other claims, which the District Court granted. </w:t>
      </w:r>
    </w:p>
    <w:p w14:paraId="75E878A6" w14:textId="77777777" w:rsidR="00DD6E12" w:rsidRPr="000F2B62" w:rsidRDefault="00AA10D2" w:rsidP="000F111C">
      <w:pPr>
        <w:spacing w:line="360" w:lineRule="auto"/>
        <w:jc w:val="both"/>
        <w:rPr>
          <w:rFonts w:cs="Times New Roman"/>
          <w:szCs w:val="24"/>
        </w:rPr>
      </w:pPr>
      <w:r w:rsidRPr="000F2B62">
        <w:rPr>
          <w:rFonts w:cs="Times New Roman"/>
          <w:szCs w:val="24"/>
        </w:rPr>
        <w:t>On suggestion by Palace, the District Court determined that remaining issues be proceeded to bench trial on briefs alone and instructed the</w:t>
      </w:r>
      <w:r w:rsidR="000776FA">
        <w:rPr>
          <w:rFonts w:cs="Times New Roman"/>
          <w:szCs w:val="24"/>
        </w:rPr>
        <w:t xml:space="preserve"> </w:t>
      </w:r>
      <w:r w:rsidRPr="000F2B62">
        <w:rPr>
          <w:rFonts w:cs="Times New Roman"/>
          <w:szCs w:val="24"/>
        </w:rPr>
        <w:t>par</w:t>
      </w:r>
      <w:r w:rsidR="00EC536C" w:rsidRPr="000F2B62">
        <w:rPr>
          <w:rFonts w:cs="Times New Roman"/>
          <w:szCs w:val="24"/>
        </w:rPr>
        <w:t>tie</w:t>
      </w:r>
      <w:r w:rsidRPr="000F2B62">
        <w:rPr>
          <w:rFonts w:cs="Times New Roman"/>
          <w:szCs w:val="24"/>
        </w:rPr>
        <w:t xml:space="preserve">s to submit trial briefs basis (1) Palace’s request for a </w:t>
      </w:r>
      <w:r w:rsidRPr="000F2B62">
        <w:rPr>
          <w:rFonts w:cs="Times New Roman"/>
          <w:szCs w:val="24"/>
        </w:rPr>
        <w:lastRenderedPageBreak/>
        <w:t xml:space="preserve">permanent injunction in transferring infringing domain names to it; (2) entitlement of Palace to statutory damages under 15 U.S.C. § 1117(d), and (3) whether the case be considered “exceptional”, under r 15 U.S.C. § 1117(a), to award attorneys’ fees and costs. The District court, after considering the parties’ briefs, entered final judgement ordering the Defendants to transfer the infringing domain names, awarded Palace $400,000 as statutory damages and considering the case to be “exceptional”, granting Palace attorney’s fees as well. </w:t>
      </w:r>
      <w:r w:rsidR="00DD6E12" w:rsidRPr="000F2B62">
        <w:rPr>
          <w:rFonts w:cs="Times New Roman"/>
          <w:szCs w:val="24"/>
        </w:rPr>
        <w:t xml:space="preserve">The District Court, however, did not grant a permanent injunction. </w:t>
      </w:r>
    </w:p>
    <w:p w14:paraId="7269603A" w14:textId="77777777" w:rsidR="00EC536C" w:rsidRPr="000F2B62" w:rsidRDefault="00DD6E12" w:rsidP="000F111C">
      <w:pPr>
        <w:spacing w:line="360" w:lineRule="auto"/>
        <w:jc w:val="both"/>
        <w:rPr>
          <w:rFonts w:cs="Times New Roman"/>
          <w:szCs w:val="24"/>
        </w:rPr>
      </w:pPr>
      <w:proofErr w:type="gramStart"/>
      <w:r w:rsidRPr="000F2B62">
        <w:rPr>
          <w:rFonts w:cs="Times New Roman"/>
          <w:szCs w:val="24"/>
        </w:rPr>
        <w:t>The Defendants filed an appeal against the final judgement and order of the District Court, on the grounds that the Court erred in granting summary judgement to Palace on Count I, since the Court adopted and considered only the Magistrate Judge’s findings of fact, as presented in the R&amp;R, and was made after weighing the evidence presented at preliminary injunction stage.</w:t>
      </w:r>
      <w:proofErr w:type="gramEnd"/>
      <w:r w:rsidRPr="000F2B62">
        <w:rPr>
          <w:rFonts w:cs="Times New Roman"/>
          <w:szCs w:val="24"/>
        </w:rPr>
        <w:t xml:space="preserve"> The Defendants argue that by relying on the Magistrate Judge’s findings, the District Court violated the summary judgement standard, which prohibits the weighing </w:t>
      </w:r>
      <w:r w:rsidR="00EC536C" w:rsidRPr="000F2B62">
        <w:rPr>
          <w:rFonts w:cs="Times New Roman"/>
          <w:szCs w:val="24"/>
        </w:rPr>
        <w:t>of evidence at summary judgement stage. “Making credibility determinations, weighing the evidence, and drawing legitimate inferences from the evidence are functions of the ultimate finder of fact and not of a judge ruling on a motion for summary judgment”, was quoted, as given in</w:t>
      </w:r>
      <w:r w:rsidR="000776FA">
        <w:rPr>
          <w:rFonts w:cs="Times New Roman"/>
          <w:szCs w:val="24"/>
        </w:rPr>
        <w:t xml:space="preserve"> </w:t>
      </w:r>
      <w:r w:rsidR="00EC536C" w:rsidRPr="000F2B62">
        <w:rPr>
          <w:rFonts w:cs="Times New Roman"/>
          <w:i/>
          <w:szCs w:val="24"/>
        </w:rPr>
        <w:t>Strickland v. Norfolk S. Ry. Co., 692 F.3d 1151, 1154 (11th Cir. 2012)</w:t>
      </w:r>
      <w:r w:rsidR="00EC536C" w:rsidRPr="000F2B62">
        <w:rPr>
          <w:rFonts w:cs="Times New Roman"/>
          <w:szCs w:val="24"/>
        </w:rPr>
        <w:t xml:space="preserve">. As was given in </w:t>
      </w:r>
      <w:r w:rsidR="00186870">
        <w:rPr>
          <w:rFonts w:cs="Times New Roman"/>
          <w:szCs w:val="24"/>
        </w:rPr>
        <w:t xml:space="preserve">the </w:t>
      </w:r>
      <w:r w:rsidR="00EC536C" w:rsidRPr="000F2B62">
        <w:rPr>
          <w:rFonts w:cs="Times New Roman"/>
          <w:szCs w:val="24"/>
        </w:rPr>
        <w:t>order of the District Court, the conclusion was arrived at, basis: “[b]</w:t>
      </w:r>
      <w:proofErr w:type="spellStart"/>
      <w:r w:rsidR="00EC536C" w:rsidRPr="000F2B62">
        <w:rPr>
          <w:rFonts w:cs="Times New Roman"/>
          <w:szCs w:val="24"/>
        </w:rPr>
        <w:t>ecause</w:t>
      </w:r>
      <w:proofErr w:type="spellEnd"/>
      <w:r w:rsidR="00EC536C" w:rsidRPr="000F2B62">
        <w:rPr>
          <w:rFonts w:cs="Times New Roman"/>
          <w:szCs w:val="24"/>
        </w:rPr>
        <w:t xml:space="preserve"> [those] determinations apply with equal force today, Defendants’ affirmative defences fail”. </w:t>
      </w:r>
    </w:p>
    <w:p w14:paraId="4F9D8EE0" w14:textId="6E3654FD" w:rsidR="00AA10D2" w:rsidRDefault="00EC536C" w:rsidP="000F111C">
      <w:pPr>
        <w:spacing w:line="360" w:lineRule="auto"/>
        <w:jc w:val="both"/>
        <w:rPr>
          <w:rFonts w:cs="Times New Roman"/>
          <w:szCs w:val="24"/>
        </w:rPr>
      </w:pPr>
      <w:r w:rsidRPr="000F2B62">
        <w:rPr>
          <w:rFonts w:cs="Times New Roman"/>
          <w:szCs w:val="24"/>
        </w:rPr>
        <w:t xml:space="preserve">The Appellate Court observed that although the District Court’s adoption of the R&amp;R findings of fact was entirely appropriate at the stage of deciding motion for preliminary injunction, it was wrong to implement the same in granting summary judgement. Therefore, it </w:t>
      </w:r>
      <w:proofErr w:type="gramStart"/>
      <w:r w:rsidRPr="000F2B62">
        <w:rPr>
          <w:rFonts w:cs="Times New Roman"/>
          <w:szCs w:val="24"/>
        </w:rPr>
        <w:t>was concluded</w:t>
      </w:r>
      <w:proofErr w:type="gramEnd"/>
      <w:r w:rsidRPr="000F2B62">
        <w:rPr>
          <w:rFonts w:cs="Times New Roman"/>
          <w:szCs w:val="24"/>
        </w:rPr>
        <w:t xml:space="preserve"> by the Appellate Court that the District Court erred in granting summary judgement and therefore, the summary judgement and the final judgement of the Distr</w:t>
      </w:r>
      <w:r w:rsidR="00D84077">
        <w:rPr>
          <w:rFonts w:cs="Times New Roman"/>
          <w:szCs w:val="24"/>
        </w:rPr>
        <w:t>ict Court, in favour of Palace wa</w:t>
      </w:r>
      <w:r w:rsidRPr="000F2B62">
        <w:rPr>
          <w:rFonts w:cs="Times New Roman"/>
          <w:szCs w:val="24"/>
        </w:rPr>
        <w:t xml:space="preserve">s </w:t>
      </w:r>
      <w:r w:rsidR="00EF70E9">
        <w:rPr>
          <w:rFonts w:cs="Times New Roman"/>
          <w:szCs w:val="24"/>
        </w:rPr>
        <w:t>vacated in its entirety and</w:t>
      </w:r>
      <w:r w:rsidRPr="000F2B62">
        <w:rPr>
          <w:rFonts w:cs="Times New Roman"/>
          <w:szCs w:val="24"/>
        </w:rPr>
        <w:t xml:space="preserve"> remanded for further proceedings. </w:t>
      </w:r>
    </w:p>
    <w:p w14:paraId="0000DABE" w14:textId="72A93379" w:rsidR="00320C79" w:rsidRDefault="00320C79" w:rsidP="000F111C">
      <w:pPr>
        <w:spacing w:line="360" w:lineRule="auto"/>
        <w:jc w:val="both"/>
        <w:rPr>
          <w:rFonts w:cs="Times New Roman"/>
          <w:b/>
          <w:bCs/>
          <w:szCs w:val="24"/>
        </w:rPr>
      </w:pPr>
    </w:p>
    <w:p w14:paraId="6A7F0050" w14:textId="77777777" w:rsidR="00DD6E12" w:rsidRPr="000F2B62" w:rsidRDefault="002B42AF" w:rsidP="000F2B62">
      <w:pPr>
        <w:jc w:val="both"/>
        <w:rPr>
          <w:rFonts w:cs="Times New Roman"/>
          <w:szCs w:val="24"/>
        </w:rPr>
      </w:pPr>
      <w:hyperlink r:id="rId5" w:history="1">
        <w:r w:rsidR="000F2B62" w:rsidRPr="000F2B62">
          <w:rPr>
            <w:rStyle w:val="Hyperlink"/>
            <w:rFonts w:cs="Times New Roman"/>
            <w:szCs w:val="24"/>
          </w:rPr>
          <w:t>Heron Development Corp. v. Vacation Tours Inc. Case number: No. 19-10784</w:t>
        </w:r>
      </w:hyperlink>
    </w:p>
    <w:p w14:paraId="13951425" w14:textId="77777777" w:rsidR="00EF70E9" w:rsidRDefault="00EF70E9" w:rsidP="000F2B62">
      <w:pPr>
        <w:jc w:val="both"/>
        <w:rPr>
          <w:rFonts w:cs="Times New Roman"/>
          <w:szCs w:val="24"/>
        </w:rPr>
      </w:pPr>
    </w:p>
    <w:p w14:paraId="017C270E" w14:textId="0936B4A7" w:rsidR="00EF70E9" w:rsidRDefault="00EF70E9" w:rsidP="000F2B62">
      <w:pPr>
        <w:jc w:val="both"/>
        <w:rPr>
          <w:rFonts w:cs="Times New Roman"/>
          <w:szCs w:val="24"/>
        </w:rPr>
      </w:pPr>
    </w:p>
    <w:p w14:paraId="6DE4B45D" w14:textId="77777777" w:rsidR="002B42AF" w:rsidRDefault="002B42AF" w:rsidP="000F2B62">
      <w:pPr>
        <w:jc w:val="both"/>
        <w:rPr>
          <w:rFonts w:cs="Times New Roman"/>
          <w:szCs w:val="24"/>
        </w:rPr>
      </w:pPr>
    </w:p>
    <w:p w14:paraId="5E5B8024" w14:textId="77777777" w:rsidR="002B42AF" w:rsidRDefault="002B42AF" w:rsidP="000F2B62">
      <w:pPr>
        <w:jc w:val="both"/>
        <w:rPr>
          <w:rFonts w:cs="Times New Roman"/>
          <w:szCs w:val="24"/>
        </w:rPr>
      </w:pPr>
    </w:p>
    <w:p w14:paraId="4D2D6312" w14:textId="77777777" w:rsidR="002B42AF" w:rsidRDefault="002B42AF" w:rsidP="000F2B62">
      <w:pPr>
        <w:jc w:val="both"/>
        <w:rPr>
          <w:rFonts w:cs="Times New Roman"/>
          <w:szCs w:val="24"/>
        </w:rPr>
      </w:pPr>
    </w:p>
    <w:p w14:paraId="38F4D2DF" w14:textId="77777777" w:rsidR="002B42AF" w:rsidRDefault="002B42AF" w:rsidP="000F2B62">
      <w:pPr>
        <w:jc w:val="both"/>
        <w:rPr>
          <w:rFonts w:cs="Times New Roman"/>
          <w:szCs w:val="24"/>
        </w:rPr>
      </w:pPr>
    </w:p>
    <w:p w14:paraId="12BD1861" w14:textId="234A96CC" w:rsidR="002B42AF" w:rsidRDefault="002B42AF" w:rsidP="002B42AF">
      <w:pPr>
        <w:jc w:val="center"/>
        <w:rPr>
          <w:rFonts w:cs="Times New Roman"/>
          <w:szCs w:val="24"/>
        </w:rPr>
      </w:pPr>
      <w:r>
        <w:rPr>
          <w:rFonts w:cs="Times New Roman"/>
          <w:szCs w:val="24"/>
        </w:rPr>
        <w:lastRenderedPageBreak/>
        <w:t xml:space="preserve">Image to </w:t>
      </w:r>
      <w:proofErr w:type="gramStart"/>
      <w:r>
        <w:rPr>
          <w:rFonts w:cs="Times New Roman"/>
          <w:szCs w:val="24"/>
        </w:rPr>
        <w:t>be used</w:t>
      </w:r>
      <w:proofErr w:type="gramEnd"/>
      <w:r>
        <w:rPr>
          <w:rFonts w:cs="Times New Roman"/>
          <w:szCs w:val="24"/>
        </w:rPr>
        <w:t>:</w:t>
      </w:r>
    </w:p>
    <w:p w14:paraId="2D3AE49B" w14:textId="6A217DB6" w:rsidR="002B42AF" w:rsidRDefault="002B42AF" w:rsidP="000F2B62">
      <w:pPr>
        <w:jc w:val="both"/>
        <w:rPr>
          <w:rFonts w:cs="Times New Roman"/>
          <w:szCs w:val="24"/>
        </w:rPr>
      </w:pPr>
      <w:r>
        <w:rPr>
          <w:rFonts w:cs="Times New Roman"/>
          <w:noProof/>
          <w:szCs w:val="24"/>
          <w:lang w:eastAsia="en-IN"/>
        </w:rPr>
        <w:drawing>
          <wp:inline distT="0" distB="0" distL="0" distR="0" wp14:anchorId="21E08E21" wp14:editId="2C0FEE61">
            <wp:extent cx="6120130" cy="2417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ort_search2.jpg"/>
                    <pic:cNvPicPr/>
                  </pic:nvPicPr>
                  <pic:blipFill>
                    <a:blip r:embed="rId6">
                      <a:extLst>
                        <a:ext uri="{28A0092B-C50C-407E-A947-70E740481C1C}">
                          <a14:useLocalDpi xmlns:a14="http://schemas.microsoft.com/office/drawing/2010/main" val="0"/>
                        </a:ext>
                      </a:extLst>
                    </a:blip>
                    <a:stretch>
                      <a:fillRect/>
                    </a:stretch>
                  </pic:blipFill>
                  <pic:spPr>
                    <a:xfrm>
                      <a:off x="0" y="0"/>
                      <a:ext cx="6120130" cy="2417445"/>
                    </a:xfrm>
                    <a:prstGeom prst="rect">
                      <a:avLst/>
                    </a:prstGeom>
                  </pic:spPr>
                </pic:pic>
              </a:graphicData>
            </a:graphic>
          </wp:inline>
        </w:drawing>
      </w:r>
    </w:p>
    <w:p w14:paraId="02207BD4" w14:textId="144BFB72" w:rsidR="002B42AF" w:rsidRDefault="002B42AF" w:rsidP="002B42AF">
      <w:pPr>
        <w:jc w:val="center"/>
        <w:rPr>
          <w:rFonts w:cs="Times New Roman"/>
          <w:szCs w:val="24"/>
        </w:rPr>
      </w:pPr>
      <w:r>
        <w:rPr>
          <w:rFonts w:cs="Times New Roman"/>
          <w:szCs w:val="24"/>
        </w:rPr>
        <w:t xml:space="preserve">Image Source: </w:t>
      </w:r>
      <w:hyperlink r:id="rId7" w:history="1">
        <w:r w:rsidRPr="00623AC7">
          <w:rPr>
            <w:rStyle w:val="Hyperlink"/>
            <w:rFonts w:cs="Times New Roman"/>
            <w:szCs w:val="24"/>
          </w:rPr>
          <w:t>https://www.palaceresorts.com/en/other-privacy-notice</w:t>
        </w:r>
      </w:hyperlink>
    </w:p>
    <w:p w14:paraId="2FC7C877" w14:textId="77777777" w:rsidR="002B42AF" w:rsidRDefault="002B42AF" w:rsidP="002B42AF">
      <w:pPr>
        <w:jc w:val="center"/>
        <w:rPr>
          <w:rFonts w:cs="Times New Roman"/>
          <w:szCs w:val="24"/>
        </w:rPr>
      </w:pPr>
      <w:bookmarkStart w:id="0" w:name="_GoBack"/>
      <w:bookmarkEnd w:id="0"/>
    </w:p>
    <w:sectPr w:rsidR="002B42AF" w:rsidSect="000F111C">
      <w:pgSz w:w="11906" w:h="16838"/>
      <w:pgMar w:top="1134" w:right="1134" w:bottom="1134" w:left="1134" w:header="709" w:footer="709"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7786"/>
    <w:multiLevelType w:val="hybridMultilevel"/>
    <w:tmpl w:val="1F126DF2"/>
    <w:lvl w:ilvl="0" w:tplc="2D9C1684">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7186386"/>
    <w:multiLevelType w:val="hybridMultilevel"/>
    <w:tmpl w:val="9B50C0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E910A4C"/>
    <w:multiLevelType w:val="hybridMultilevel"/>
    <w:tmpl w:val="83BC2334"/>
    <w:lvl w:ilvl="0" w:tplc="A1BAE038">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80631"/>
    <w:rsid w:val="000204AE"/>
    <w:rsid w:val="000776FA"/>
    <w:rsid w:val="00080631"/>
    <w:rsid w:val="000F111C"/>
    <w:rsid w:val="000F2B62"/>
    <w:rsid w:val="00186870"/>
    <w:rsid w:val="002060C5"/>
    <w:rsid w:val="002B42AF"/>
    <w:rsid w:val="002C4F14"/>
    <w:rsid w:val="00320C79"/>
    <w:rsid w:val="003E142C"/>
    <w:rsid w:val="00406568"/>
    <w:rsid w:val="004241E1"/>
    <w:rsid w:val="004E24BB"/>
    <w:rsid w:val="004F0210"/>
    <w:rsid w:val="00506D47"/>
    <w:rsid w:val="005B7C8B"/>
    <w:rsid w:val="005C2005"/>
    <w:rsid w:val="005F6282"/>
    <w:rsid w:val="006942CD"/>
    <w:rsid w:val="006A11F1"/>
    <w:rsid w:val="006A4DFB"/>
    <w:rsid w:val="006C6859"/>
    <w:rsid w:val="006D0777"/>
    <w:rsid w:val="00776E80"/>
    <w:rsid w:val="008453C2"/>
    <w:rsid w:val="009E5B98"/>
    <w:rsid w:val="00AA10D2"/>
    <w:rsid w:val="00AD7A11"/>
    <w:rsid w:val="00B535AD"/>
    <w:rsid w:val="00B76E8B"/>
    <w:rsid w:val="00B836FD"/>
    <w:rsid w:val="00B87891"/>
    <w:rsid w:val="00BB256D"/>
    <w:rsid w:val="00BC01D5"/>
    <w:rsid w:val="00C1111D"/>
    <w:rsid w:val="00C348D5"/>
    <w:rsid w:val="00C57D02"/>
    <w:rsid w:val="00D801DB"/>
    <w:rsid w:val="00D84077"/>
    <w:rsid w:val="00D949C8"/>
    <w:rsid w:val="00DD6E12"/>
    <w:rsid w:val="00E23D2D"/>
    <w:rsid w:val="00E87518"/>
    <w:rsid w:val="00EC536C"/>
    <w:rsid w:val="00ED1727"/>
    <w:rsid w:val="00EF70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773F"/>
  <w15:docId w15:val="{0D7B6360-352A-49B9-BBAD-3E67A437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1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005"/>
    <w:pPr>
      <w:ind w:left="720"/>
      <w:contextualSpacing/>
    </w:pPr>
  </w:style>
  <w:style w:type="character" w:styleId="Hyperlink">
    <w:name w:val="Hyperlink"/>
    <w:basedOn w:val="DefaultParagraphFont"/>
    <w:uiPriority w:val="99"/>
    <w:unhideWhenUsed/>
    <w:rsid w:val="000F2B62"/>
    <w:rPr>
      <w:color w:val="0563C1" w:themeColor="hyperlink"/>
      <w:u w:val="single"/>
    </w:rPr>
  </w:style>
  <w:style w:type="character" w:customStyle="1" w:styleId="UnresolvedMention">
    <w:name w:val="Unresolved Mention"/>
    <w:basedOn w:val="DefaultParagraphFont"/>
    <w:uiPriority w:val="99"/>
    <w:semiHidden/>
    <w:unhideWhenUsed/>
    <w:rsid w:val="00320C79"/>
    <w:rPr>
      <w:color w:val="605E5C"/>
      <w:shd w:val="clear" w:color="auto" w:fill="E1DFDD"/>
    </w:rPr>
  </w:style>
  <w:style w:type="paragraph" w:styleId="NormalWeb">
    <w:name w:val="Normal (Web)"/>
    <w:basedOn w:val="Normal"/>
    <w:uiPriority w:val="99"/>
    <w:semiHidden/>
    <w:unhideWhenUsed/>
    <w:rsid w:val="002B42AF"/>
    <w:pPr>
      <w:spacing w:before="100" w:beforeAutospacing="1" w:after="100" w:afterAutospacing="1" w:line="240" w:lineRule="auto"/>
    </w:pPr>
    <w:rPr>
      <w:rFonts w:eastAsia="Times New Roman" w:cs="Times New Roman"/>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laceresorts.com/en/other-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www.govinfo.gov/content/pkg/USCOURTS-ca11-19-10784/pdf/USCOURTS-ca11-19-10784-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5</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Prishita Chadha</dc:creator>
  <cp:keywords/>
  <dc:description/>
  <cp:lastModifiedBy>Harsh Sharma</cp:lastModifiedBy>
  <cp:revision>14</cp:revision>
  <dcterms:created xsi:type="dcterms:W3CDTF">2021-06-09T04:20:00Z</dcterms:created>
  <dcterms:modified xsi:type="dcterms:W3CDTF">2021-07-26T06:16:00Z</dcterms:modified>
</cp:coreProperties>
</file>