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4CC" w:rsidRDefault="009364CC" w:rsidP="009364CC">
      <w:pPr>
        <w:pStyle w:val="NormalWeb"/>
        <w:spacing w:before="0" w:beforeAutospacing="0" w:after="200" w:afterAutospacing="0" w:line="360" w:lineRule="auto"/>
        <w:jc w:val="center"/>
      </w:pPr>
      <w:r>
        <w:rPr>
          <w:b/>
          <w:bCs/>
          <w:color w:val="000000"/>
          <w:u w:val="single"/>
        </w:rPr>
        <w:t>Reasonable Care Required to Protect Confidential Information as Trade Secret </w:t>
      </w:r>
    </w:p>
    <w:p w:rsidR="009364CC" w:rsidRDefault="009364CC" w:rsidP="009364CC">
      <w:pPr>
        <w:pStyle w:val="NormalWeb"/>
        <w:spacing w:before="0" w:beforeAutospacing="0" w:after="200" w:afterAutospacing="0" w:line="360" w:lineRule="auto"/>
        <w:jc w:val="center"/>
      </w:pPr>
      <w:r>
        <w:rPr>
          <w:b/>
          <w:bCs/>
          <w:color w:val="000000"/>
          <w:u w:val="single"/>
        </w:rPr>
        <w:t>Or</w:t>
      </w:r>
    </w:p>
    <w:p w:rsidR="009364CC" w:rsidRDefault="009364CC" w:rsidP="009364CC">
      <w:pPr>
        <w:pStyle w:val="NormalWeb"/>
        <w:spacing w:before="0" w:beforeAutospacing="0" w:after="200" w:afterAutospacing="0" w:line="360" w:lineRule="auto"/>
        <w:jc w:val="center"/>
      </w:pPr>
      <w:r>
        <w:rPr>
          <w:b/>
          <w:bCs/>
          <w:color w:val="000000"/>
          <w:u w:val="single"/>
        </w:rPr>
        <w:t xml:space="preserve">Are You Taking Reasonable Care of your Confidential Information? Ninth Circuit </w:t>
      </w:r>
      <w:proofErr w:type="gramStart"/>
      <w:r>
        <w:rPr>
          <w:b/>
          <w:bCs/>
          <w:color w:val="000000"/>
          <w:u w:val="single"/>
        </w:rPr>
        <w:t>Opines</w:t>
      </w:r>
      <w:proofErr w:type="gramEnd"/>
      <w:r>
        <w:rPr>
          <w:b/>
          <w:bCs/>
          <w:color w:val="000000"/>
          <w:u w:val="single"/>
        </w:rPr>
        <w:t xml:space="preserve"> it to be an Essential Element While Claiming Protection as Trade Secret</w:t>
      </w:r>
    </w:p>
    <w:p w:rsidR="00CC5F8A" w:rsidRPr="00FD430A" w:rsidRDefault="00F4164E" w:rsidP="00FD430A">
      <w:proofErr w:type="spellStart"/>
      <w:r>
        <w:t>InteliClear</w:t>
      </w:r>
      <w:proofErr w:type="spellEnd"/>
      <w:r>
        <w:t xml:space="preserve"> Inc. (</w:t>
      </w:r>
      <w:r w:rsidR="00EB7058">
        <w:t>“</w:t>
      </w:r>
      <w:proofErr w:type="spellStart"/>
      <w:r>
        <w:t>InteliClear</w:t>
      </w:r>
      <w:proofErr w:type="spellEnd"/>
      <w:r w:rsidR="00EB7058">
        <w:t>”</w:t>
      </w:r>
      <w:r>
        <w:t>) develops multiple comprehensive electronic system</w:t>
      </w:r>
      <w:r w:rsidR="00E80936">
        <w:t>s</w:t>
      </w:r>
      <w:r>
        <w:t xml:space="preserve"> and specializes in commercial IT. </w:t>
      </w:r>
      <w:proofErr w:type="spellStart"/>
      <w:r w:rsidR="00E8545B">
        <w:t>InteliClear</w:t>
      </w:r>
      <w:proofErr w:type="spellEnd"/>
      <w:r>
        <w:t xml:space="preserve"> develops</w:t>
      </w:r>
      <w:r w:rsidR="00E80936">
        <w:t xml:space="preserve"> proprietary</w:t>
      </w:r>
      <w:r>
        <w:t xml:space="preserve"> “</w:t>
      </w:r>
      <w:proofErr w:type="spellStart"/>
      <w:r>
        <w:t>InteliClear</w:t>
      </w:r>
      <w:proofErr w:type="spellEnd"/>
      <w:r>
        <w:t xml:space="preserve"> System”</w:t>
      </w:r>
      <w:r w:rsidR="00EB7058">
        <w:t xml:space="preserve"> which is </w:t>
      </w:r>
      <w:r w:rsidR="00E80936">
        <w:t xml:space="preserve">an </w:t>
      </w:r>
      <w:r w:rsidR="00EB7058">
        <w:t xml:space="preserve">electronic system </w:t>
      </w:r>
      <w:r w:rsidR="00E80936">
        <w:t xml:space="preserve">used for </w:t>
      </w:r>
      <w:r w:rsidR="00EB7058" w:rsidRPr="00CC5F8A">
        <w:t xml:space="preserve">managing </w:t>
      </w:r>
      <w:r w:rsidR="00E80936">
        <w:t xml:space="preserve">a </w:t>
      </w:r>
      <w:r w:rsidR="00EB7058" w:rsidRPr="00CC5F8A">
        <w:t>stock brokerage firm</w:t>
      </w:r>
      <w:r w:rsidR="00E80936">
        <w:t>’s</w:t>
      </w:r>
      <w:r w:rsidR="00EB7058" w:rsidRPr="00CC5F8A">
        <w:t xml:space="preserve"> accounting, securities clearance, and securities settlement services</w:t>
      </w:r>
      <w:r w:rsidR="00EB7058">
        <w:t xml:space="preserve"> during 2004-06. ETC Global Holdings, </w:t>
      </w:r>
      <w:proofErr w:type="spellStart"/>
      <w:r w:rsidR="00EB7058">
        <w:t>Inc</w:t>
      </w:r>
      <w:proofErr w:type="spellEnd"/>
      <w:r w:rsidR="00EB7058">
        <w:t xml:space="preserve"> (“ETC</w:t>
      </w:r>
      <w:r w:rsidR="00E80936">
        <w:t>”</w:t>
      </w:r>
      <w:r w:rsidR="00EB7058">
        <w:t xml:space="preserve">) operates as a holding </w:t>
      </w:r>
      <w:proofErr w:type="gramStart"/>
      <w:r w:rsidR="00EB7058">
        <w:t>company which</w:t>
      </w:r>
      <w:proofErr w:type="gramEnd"/>
      <w:r w:rsidR="00EB7058">
        <w:t xml:space="preserve"> obtained license from </w:t>
      </w:r>
      <w:proofErr w:type="spellStart"/>
      <w:r w:rsidR="00E8545B">
        <w:t>InteliClear</w:t>
      </w:r>
      <w:proofErr w:type="spellEnd"/>
      <w:r w:rsidR="004A3E3C">
        <w:t xml:space="preserve"> to use its </w:t>
      </w:r>
      <w:proofErr w:type="spellStart"/>
      <w:r w:rsidR="004A3E3C">
        <w:t>InteliClear</w:t>
      </w:r>
      <w:proofErr w:type="spellEnd"/>
      <w:r w:rsidR="004A3E3C">
        <w:t xml:space="preserve"> System and thereby signed a Software License Agreement. In this agreement, it was agreed that the information provided was confidential, proprietary, and copyrighted and ETC </w:t>
      </w:r>
      <w:r w:rsidR="00E80936">
        <w:t xml:space="preserve">further </w:t>
      </w:r>
      <w:r w:rsidR="004A3E3C">
        <w:t xml:space="preserve">agreed </w:t>
      </w:r>
      <w:r w:rsidR="00E80936">
        <w:t xml:space="preserve">to keep the </w:t>
      </w:r>
      <w:r w:rsidR="004A3E3C">
        <w:t xml:space="preserve">information confidential “during and after” the terms of the agreement. </w:t>
      </w:r>
      <w:r w:rsidR="008131B1">
        <w:t xml:space="preserve">In 2017, ETC terminated the contract with </w:t>
      </w:r>
      <w:proofErr w:type="spellStart"/>
      <w:r w:rsidR="008131B1">
        <w:t>InteliClear</w:t>
      </w:r>
      <w:proofErr w:type="spellEnd"/>
      <w:r w:rsidR="008131B1">
        <w:t xml:space="preserve"> and committed that it will remove the </w:t>
      </w:r>
      <w:proofErr w:type="spellStart"/>
      <w:r w:rsidR="00E8545B">
        <w:t>InteliClear</w:t>
      </w:r>
      <w:proofErr w:type="spellEnd"/>
      <w:r w:rsidR="008131B1">
        <w:t xml:space="preserve"> database from its system</w:t>
      </w:r>
      <w:r w:rsidR="00FD6D08">
        <w:t xml:space="preserve"> and will develop its own system. </w:t>
      </w:r>
      <w:proofErr w:type="spellStart"/>
      <w:r w:rsidR="00E8545B">
        <w:t>InteliClear</w:t>
      </w:r>
      <w:proofErr w:type="spellEnd"/>
      <w:r w:rsidR="00FD6D08">
        <w:t>, after due examination, noticed similarities of its system with that of ETC’s</w:t>
      </w:r>
      <w:r w:rsidR="00E80936">
        <w:t xml:space="preserve"> new system. Therefore, it filed</w:t>
      </w:r>
      <w:r w:rsidR="00FD6D08">
        <w:t xml:space="preserve"> </w:t>
      </w:r>
      <w:r w:rsidR="00E80936">
        <w:t xml:space="preserve">a </w:t>
      </w:r>
      <w:r w:rsidR="004260CA">
        <w:t>suit against ETC in</w:t>
      </w:r>
      <w:r w:rsidR="00FD6D08">
        <w:t xml:space="preserve"> the United States District Court for the Central District of California</w:t>
      </w:r>
      <w:r w:rsidR="004260CA">
        <w:t xml:space="preserve"> (“District Court”)</w:t>
      </w:r>
      <w:r w:rsidR="00FD6D08">
        <w:t xml:space="preserve">. The District Court dismissed </w:t>
      </w:r>
      <w:proofErr w:type="spellStart"/>
      <w:r w:rsidR="00FD6D08">
        <w:t>InteliClear’s</w:t>
      </w:r>
      <w:proofErr w:type="spellEnd"/>
      <w:r w:rsidR="00FD6D08">
        <w:t xml:space="preserve"> unfair competition claim. </w:t>
      </w:r>
      <w:r w:rsidR="00D07995">
        <w:t xml:space="preserve">The District Court held that </w:t>
      </w:r>
      <w:proofErr w:type="spellStart"/>
      <w:r w:rsidR="00E8545B">
        <w:t>InteliClear</w:t>
      </w:r>
      <w:proofErr w:type="spellEnd"/>
      <w:r w:rsidR="00D07995">
        <w:t xml:space="preserve"> failed to identify its trade secrets with sufficient particularity, and thus granted ETC’s motion for summary judgment. Aggrieved by this, </w:t>
      </w:r>
      <w:proofErr w:type="spellStart"/>
      <w:r w:rsidR="00E8545B">
        <w:t>InteliClear</w:t>
      </w:r>
      <w:proofErr w:type="spellEnd"/>
      <w:r w:rsidR="00D07995">
        <w:t xml:space="preserve"> moved to the United States Court of Appeal</w:t>
      </w:r>
      <w:r w:rsidR="00E80936">
        <w:t>s</w:t>
      </w:r>
      <w:r w:rsidR="00D07995">
        <w:t xml:space="preserve"> for the Ninth Circuit</w:t>
      </w:r>
      <w:r w:rsidR="00FD430A">
        <w:t xml:space="preserve"> (“Ninth Circuit”) (</w:t>
      </w:r>
      <w:proofErr w:type="spellStart"/>
      <w:r w:rsidR="001C6BC7" w:rsidRPr="001C6BC7">
        <w:rPr>
          <w:i/>
        </w:rPr>
        <w:t>InteliClear</w:t>
      </w:r>
      <w:proofErr w:type="spellEnd"/>
      <w:r w:rsidR="001C6BC7" w:rsidRPr="001C6BC7">
        <w:rPr>
          <w:i/>
        </w:rPr>
        <w:t>, LLC v. ETC Glob. Holdings,</w:t>
      </w:r>
      <w:r w:rsidR="001C6BC7">
        <w:t xml:space="preserve"> </w:t>
      </w:r>
      <w:r w:rsidR="00FD430A" w:rsidRPr="00543703">
        <w:rPr>
          <w:i/>
        </w:rPr>
        <w:t>978 F.3d 653 (</w:t>
      </w:r>
      <w:proofErr w:type="gramStart"/>
      <w:r w:rsidR="00FD430A" w:rsidRPr="00543703">
        <w:rPr>
          <w:i/>
        </w:rPr>
        <w:t>9th</w:t>
      </w:r>
      <w:proofErr w:type="gramEnd"/>
      <w:r w:rsidR="00FD430A" w:rsidRPr="00543703">
        <w:rPr>
          <w:i/>
        </w:rPr>
        <w:t xml:space="preserve"> Cir. 2020)</w:t>
      </w:r>
      <w:r w:rsidR="00FD430A">
        <w:t>)</w:t>
      </w:r>
      <w:r w:rsidR="00D07995">
        <w:t xml:space="preserve"> </w:t>
      </w:r>
      <w:r w:rsidR="00FD430A">
        <w:t xml:space="preserve">and </w:t>
      </w:r>
      <w:r w:rsidR="006B597E">
        <w:t xml:space="preserve">the Ninth Circuit </w:t>
      </w:r>
      <w:r w:rsidR="00FD430A">
        <w:t>reversed the district court’s grant of summary judgment. The Ninth Circuit held that it was r</w:t>
      </w:r>
      <w:r w:rsidR="00E80936">
        <w:t>easonable for a jury to find that</w:t>
      </w:r>
      <w:r w:rsidR="00FD430A">
        <w:t xml:space="preserve"> </w:t>
      </w:r>
      <w:proofErr w:type="spellStart"/>
      <w:r w:rsidR="00E8545B">
        <w:t>InteliClear</w:t>
      </w:r>
      <w:proofErr w:type="spellEnd"/>
      <w:r w:rsidR="00FD430A">
        <w:t xml:space="preserve"> was not generally known and ascertainable to other, hence qualifies for trade secret.  </w:t>
      </w:r>
    </w:p>
    <w:p w:rsidR="000007A7" w:rsidRDefault="00E8545B" w:rsidP="00FD430A">
      <w:proofErr w:type="spellStart"/>
      <w:r>
        <w:t>InteliClear</w:t>
      </w:r>
      <w:proofErr w:type="spellEnd"/>
      <w:r w:rsidR="00FD430A" w:rsidRPr="00FD430A">
        <w:t xml:space="preserve"> while developing it system used the Structured Query Language (SQL</w:t>
      </w:r>
      <w:proofErr w:type="gramStart"/>
      <w:r w:rsidR="00FD430A" w:rsidRPr="00FD430A">
        <w:t>)</w:t>
      </w:r>
      <w:r w:rsidR="00FD430A">
        <w:t xml:space="preserve"> which</w:t>
      </w:r>
      <w:proofErr w:type="gramEnd"/>
      <w:r w:rsidR="00FD430A">
        <w:t xml:space="preserve"> can handle</w:t>
      </w:r>
      <w:r w:rsidR="00FD430A" w:rsidRPr="00FD430A">
        <w:t xml:space="preserve"> millions of </w:t>
      </w:r>
      <w:r w:rsidR="00FD430A">
        <w:t>trade</w:t>
      </w:r>
      <w:r w:rsidR="00E80936">
        <w:t>s</w:t>
      </w:r>
      <w:r w:rsidR="00FD430A">
        <w:t xml:space="preserve"> each business day. </w:t>
      </w:r>
      <w:proofErr w:type="gramStart"/>
      <w:r w:rsidR="00D728D4">
        <w:t xml:space="preserve">This system was developed by </w:t>
      </w:r>
      <w:r w:rsidR="00D728D4" w:rsidRPr="00CC5F8A">
        <w:t xml:space="preserve">Martin </w:t>
      </w:r>
      <w:proofErr w:type="spellStart"/>
      <w:r w:rsidR="00D728D4" w:rsidRPr="00CC5F8A">
        <w:t>Barretto</w:t>
      </w:r>
      <w:proofErr w:type="spellEnd"/>
      <w:r w:rsidR="00D728D4" w:rsidRPr="00CC5F8A">
        <w:t xml:space="preserve"> (</w:t>
      </w:r>
      <w:r w:rsidR="00B94713">
        <w:t>“</w:t>
      </w:r>
      <w:proofErr w:type="spellStart"/>
      <w:r w:rsidR="00D728D4" w:rsidRPr="00CC5F8A">
        <w:t>Barretto</w:t>
      </w:r>
      <w:proofErr w:type="spellEnd"/>
      <w:r w:rsidR="00B94713">
        <w:t>”</w:t>
      </w:r>
      <w:r w:rsidR="00D728D4" w:rsidRPr="00CC5F8A">
        <w:t xml:space="preserve">), </w:t>
      </w:r>
      <w:proofErr w:type="spellStart"/>
      <w:r w:rsidR="00D728D4" w:rsidRPr="00CC5F8A">
        <w:t>InteliClear’s</w:t>
      </w:r>
      <w:proofErr w:type="spellEnd"/>
      <w:r w:rsidR="00D728D4" w:rsidRPr="00CC5F8A">
        <w:t xml:space="preserve"> General Manager, to address a void in back</w:t>
      </w:r>
      <w:proofErr w:type="gramEnd"/>
      <w:r w:rsidR="00D728D4">
        <w:t xml:space="preserve"> office offerings. ETC obtained the Software License Agreement from </w:t>
      </w:r>
      <w:proofErr w:type="spellStart"/>
      <w:r w:rsidR="008727D2">
        <w:t>InteliClear</w:t>
      </w:r>
      <w:proofErr w:type="spellEnd"/>
      <w:r w:rsidR="00D728D4">
        <w:t xml:space="preserve"> on January 9, 2008, agreeing to maintain the confidentiality of the information even after the agreement. Nevertheless, ETC terminated the contract by sending the notice of termination of the agreement on November 20, </w:t>
      </w:r>
      <w:proofErr w:type="gramStart"/>
      <w:r w:rsidR="00D728D4">
        <w:lastRenderedPageBreak/>
        <w:t>2017</w:t>
      </w:r>
      <w:r w:rsidR="00B94713">
        <w:t xml:space="preserve"> which</w:t>
      </w:r>
      <w:proofErr w:type="gramEnd"/>
      <w:r w:rsidR="00B94713">
        <w:t xml:space="preserve"> was effective from February 28, 2018. In the notice, ETC committed to “remove the </w:t>
      </w:r>
      <w:proofErr w:type="spellStart"/>
      <w:r w:rsidR="00B94713">
        <w:t>InteliClear</w:t>
      </w:r>
      <w:proofErr w:type="spellEnd"/>
      <w:r w:rsidR="00B94713">
        <w:t xml:space="preserve"> database from its systems” by February 26, 2018 </w:t>
      </w:r>
      <w:r w:rsidR="00E80936">
        <w:t>and certified</w:t>
      </w:r>
      <w:r w:rsidR="00B94713">
        <w:t xml:space="preserve"> on March 5, 2018 that all </w:t>
      </w:r>
      <w:r w:rsidR="00E80936">
        <w:t xml:space="preserve">the </w:t>
      </w:r>
      <w:r w:rsidR="00B94713">
        <w:t xml:space="preserve">files </w:t>
      </w:r>
      <w:r w:rsidR="00E80936">
        <w:t xml:space="preserve">were destroyed. </w:t>
      </w:r>
      <w:r w:rsidR="00B94713">
        <w:t xml:space="preserve">After the termination, ETC started building its own securities clearing software and deployed its own electronic trading system. </w:t>
      </w:r>
      <w:proofErr w:type="gramStart"/>
      <w:r w:rsidR="00B94713">
        <w:t xml:space="preserve">Similarities were noticed by </w:t>
      </w:r>
      <w:proofErr w:type="spellStart"/>
      <w:r w:rsidR="00B94713">
        <w:t>Barretto</w:t>
      </w:r>
      <w:proofErr w:type="spellEnd"/>
      <w:proofErr w:type="gramEnd"/>
      <w:r w:rsidR="00B94713">
        <w:t xml:space="preserve"> between ETC</w:t>
      </w:r>
      <w:r w:rsidR="0054520C">
        <w:t>’s</w:t>
      </w:r>
      <w:r w:rsidR="00B94713">
        <w:t xml:space="preserve"> newly developed system and the </w:t>
      </w:r>
      <w:proofErr w:type="spellStart"/>
      <w:r w:rsidR="008727D2">
        <w:t>InteliClear</w:t>
      </w:r>
      <w:proofErr w:type="spellEnd"/>
      <w:r w:rsidR="00B94713">
        <w:t xml:space="preserve"> system. Similarities such as tables </w:t>
      </w:r>
      <w:proofErr w:type="gramStart"/>
      <w:r w:rsidR="00B94713">
        <w:t>being used</w:t>
      </w:r>
      <w:proofErr w:type="gramEnd"/>
      <w:r w:rsidR="00B94713">
        <w:t xml:space="preserve"> in the ETC system having </w:t>
      </w:r>
      <w:r w:rsidR="0054520C">
        <w:t xml:space="preserve">the </w:t>
      </w:r>
      <w:r w:rsidR="00B94713">
        <w:t xml:space="preserve">same unique names in a column as used in the </w:t>
      </w:r>
      <w:proofErr w:type="spellStart"/>
      <w:r w:rsidR="008727D2">
        <w:t>InteliClear’s</w:t>
      </w:r>
      <w:proofErr w:type="spellEnd"/>
      <w:r w:rsidR="00B94713">
        <w:t xml:space="preserve"> </w:t>
      </w:r>
      <w:r w:rsidR="008727D2">
        <w:t>system</w:t>
      </w:r>
      <w:r w:rsidR="00B94713">
        <w:t xml:space="preserve"> were </w:t>
      </w:r>
      <w:r w:rsidR="0054520C">
        <w:t xml:space="preserve">also </w:t>
      </w:r>
      <w:r w:rsidR="00B94713">
        <w:t xml:space="preserve">found. </w:t>
      </w:r>
    </w:p>
    <w:p w:rsidR="00B94713" w:rsidRDefault="00B94713" w:rsidP="00FD430A">
      <w:r>
        <w:t xml:space="preserve">Due to this, </w:t>
      </w:r>
      <w:proofErr w:type="spellStart"/>
      <w:r w:rsidR="008727D2">
        <w:t>InteliClear</w:t>
      </w:r>
      <w:proofErr w:type="spellEnd"/>
      <w:r>
        <w:t xml:space="preserve"> </w:t>
      </w:r>
      <w:r w:rsidR="000007A7">
        <w:t xml:space="preserve">contacted ETC in April 2018 about this suspicion. </w:t>
      </w:r>
      <w:proofErr w:type="spellStart"/>
      <w:r w:rsidR="008727D2">
        <w:t>InteliClear</w:t>
      </w:r>
      <w:proofErr w:type="spellEnd"/>
      <w:r w:rsidR="000007A7">
        <w:t xml:space="preserve"> asked ETC to compare the two systems and investigate. ETC agreed to </w:t>
      </w:r>
      <w:r w:rsidR="0054520C">
        <w:t xml:space="preserve">the investigation, </w:t>
      </w:r>
      <w:r w:rsidR="000007A7">
        <w:t xml:space="preserve">for which a computer technology and forensics expert, Capsicum Group, LLC (“Capsicum”) was hired by </w:t>
      </w:r>
      <w:proofErr w:type="spellStart"/>
      <w:r w:rsidR="000007A7">
        <w:t>InteliClear</w:t>
      </w:r>
      <w:proofErr w:type="spellEnd"/>
      <w:r w:rsidR="000007A7">
        <w:t xml:space="preserve">. Capsicum investigated the two </w:t>
      </w:r>
      <w:proofErr w:type="gramStart"/>
      <w:r w:rsidR="004260CA">
        <w:t>systems</w:t>
      </w:r>
      <w:r w:rsidR="000007A7">
        <w:t xml:space="preserve"> and found “abundant evidence” </w:t>
      </w:r>
      <w:r w:rsidR="0054520C">
        <w:t xml:space="preserve">to prove similarity </w:t>
      </w:r>
      <w:r w:rsidR="000007A7">
        <w:t xml:space="preserve">between ETC system and </w:t>
      </w:r>
      <w:proofErr w:type="spellStart"/>
      <w:r w:rsidR="008727D2">
        <w:t>InteliClear</w:t>
      </w:r>
      <w:proofErr w:type="spellEnd"/>
      <w:r w:rsidR="000007A7">
        <w:t xml:space="preserve"> system</w:t>
      </w:r>
      <w:proofErr w:type="gramEnd"/>
      <w:r w:rsidR="000007A7">
        <w:t xml:space="preserve"> and issued a Summary Report. </w:t>
      </w:r>
      <w:proofErr w:type="gramStart"/>
      <w:r w:rsidR="000007A7">
        <w:t xml:space="preserve">Capsicum’s founder and CEO, stated in his declaration: “In fact, so striking were the similarities that it appeared to us that ETC’s system had been constructed by a programmer who had one eye on the </w:t>
      </w:r>
      <w:proofErr w:type="spellStart"/>
      <w:r w:rsidR="000007A7">
        <w:t>InteliClear</w:t>
      </w:r>
      <w:proofErr w:type="spellEnd"/>
      <w:r w:rsidR="000007A7">
        <w:t xml:space="preserve"> System as it was running and the other eye on the system he was building, like a painter looking back and forth at a live model while depicting her on the canvas.”</w:t>
      </w:r>
      <w:proofErr w:type="gramEnd"/>
      <w:r w:rsidR="000007A7">
        <w:t xml:space="preserve"> After such striking similarities, </w:t>
      </w:r>
      <w:proofErr w:type="spellStart"/>
      <w:r w:rsidR="008727D2">
        <w:t>InteliClear</w:t>
      </w:r>
      <w:proofErr w:type="spellEnd"/>
      <w:r w:rsidR="000007A7">
        <w:t xml:space="preserve"> </w:t>
      </w:r>
      <w:r w:rsidR="004260CA">
        <w:t xml:space="preserve">filed the suit against ETC in the District Court alleging that ETC has misused its securities tracking system and brought three claims. </w:t>
      </w:r>
      <w:r w:rsidR="0054520C">
        <w:t xml:space="preserve">The claims </w:t>
      </w:r>
      <w:r w:rsidR="004260CA">
        <w:t xml:space="preserve">were (1) misappropriation under the federal Defend Trade Secrets Act (“DTSA”); (2) misappropriation under the California Uniform Trade Secrets Act (“CUTSA”); and (3) unfair competition. </w:t>
      </w:r>
    </w:p>
    <w:p w:rsidR="008F1902" w:rsidRDefault="008F1902" w:rsidP="00FD430A">
      <w:r>
        <w:t xml:space="preserve">The District Court dismissed the third claim of unfair competition, under the preemption doctrine since it </w:t>
      </w:r>
      <w:proofErr w:type="gramStart"/>
      <w:r>
        <w:t>was preempted</w:t>
      </w:r>
      <w:proofErr w:type="gramEnd"/>
      <w:r>
        <w:t xml:space="preserve"> by CUTSA. For the remaining claims, ETC moved for summary judgment contending that </w:t>
      </w:r>
      <w:proofErr w:type="spellStart"/>
      <w:r w:rsidR="008727D2">
        <w:t>InteliClear</w:t>
      </w:r>
      <w:proofErr w:type="spellEnd"/>
      <w:r>
        <w:t xml:space="preserve"> did not put substantial evidence for showing that the </w:t>
      </w:r>
      <w:proofErr w:type="spellStart"/>
      <w:r w:rsidR="008727D2">
        <w:t>InteliClear</w:t>
      </w:r>
      <w:proofErr w:type="spellEnd"/>
      <w:r>
        <w:t xml:space="preserve"> system was a trade secret and the source code was accessible. </w:t>
      </w:r>
      <w:proofErr w:type="spellStart"/>
      <w:r>
        <w:t>Barretto</w:t>
      </w:r>
      <w:proofErr w:type="spellEnd"/>
      <w:r>
        <w:t xml:space="preserve"> submitted more detailed system features in a sealed declaration. Nevertheless, the District Court held that </w:t>
      </w:r>
      <w:proofErr w:type="spellStart"/>
      <w:r w:rsidR="008727D2">
        <w:t>InteliClear</w:t>
      </w:r>
      <w:proofErr w:type="spellEnd"/>
      <w:r>
        <w:t xml:space="preserve"> failed </w:t>
      </w:r>
      <w:proofErr w:type="gramStart"/>
      <w:r>
        <w:t>to sufficiently identify</w:t>
      </w:r>
      <w:proofErr w:type="gramEnd"/>
      <w:r>
        <w:t xml:space="preserve"> the elements of trad</w:t>
      </w:r>
      <w:r w:rsidR="00766E15">
        <w:t xml:space="preserve">e secret and held that discovery would not resolve the failure to state the alleged trade secrets with sufficient particularity. Denying </w:t>
      </w:r>
      <w:proofErr w:type="gramStart"/>
      <w:r w:rsidR="00766E15">
        <w:t xml:space="preserve">on the basis </w:t>
      </w:r>
      <w:r w:rsidR="0054520C">
        <w:t>of</w:t>
      </w:r>
      <w:proofErr w:type="gramEnd"/>
      <w:r w:rsidR="0054520C">
        <w:t xml:space="preserve"> </w:t>
      </w:r>
      <w:r w:rsidR="00766E15">
        <w:t>insufficient evidences</w:t>
      </w:r>
      <w:r w:rsidR="0054520C">
        <w:t>,</w:t>
      </w:r>
      <w:r w:rsidR="00766E15">
        <w:t xml:space="preserve"> it did not delved into the issue of misappropriation of damages. Aggrieved by the same, </w:t>
      </w:r>
      <w:proofErr w:type="spellStart"/>
      <w:r w:rsidR="008727D2">
        <w:t>InteliClear</w:t>
      </w:r>
      <w:proofErr w:type="spellEnd"/>
      <w:r w:rsidR="00766E15">
        <w:t xml:space="preserve"> appealed </w:t>
      </w:r>
      <w:r w:rsidR="0054520C">
        <w:t xml:space="preserve">against the ruling </w:t>
      </w:r>
      <w:r w:rsidR="00766E15">
        <w:t xml:space="preserve">to the Ninth Circuit. </w:t>
      </w:r>
    </w:p>
    <w:p w:rsidR="004260CA" w:rsidRDefault="00766E15" w:rsidP="003F0102">
      <w:r>
        <w:lastRenderedPageBreak/>
        <w:t xml:space="preserve">Since the </w:t>
      </w:r>
      <w:proofErr w:type="gramStart"/>
      <w:r>
        <w:t xml:space="preserve">ruling was obtained by the Ninth Circuit </w:t>
      </w:r>
      <w:r w:rsidR="00E73F33">
        <w:t xml:space="preserve">through </w:t>
      </w:r>
      <w:r w:rsidR="0054520C">
        <w:t xml:space="preserve">a </w:t>
      </w:r>
      <w:r w:rsidR="00E73F33">
        <w:t xml:space="preserve">summary judgment and not after </w:t>
      </w:r>
      <w:r w:rsidR="0054520C">
        <w:t>a trial</w:t>
      </w:r>
      <w:proofErr w:type="gramEnd"/>
      <w:r w:rsidR="00E73F33">
        <w:t xml:space="preserve">, the Ninth Circuit began to review the lower court’s summary judgment ruling. The Ninth Circuit analyzed that a genuine dispute of material fact exists only “if the evidence is such that a reasonable jury could return a verdict for the nonmoving party.” i.e. </w:t>
      </w:r>
      <w:proofErr w:type="spellStart"/>
      <w:r w:rsidR="008727D2">
        <w:t>InteliClear</w:t>
      </w:r>
      <w:proofErr w:type="spellEnd"/>
      <w:r w:rsidR="00E73F33">
        <w:t xml:space="preserve">. The moving party in this case </w:t>
      </w:r>
      <w:r w:rsidR="0054520C">
        <w:t>was ETC where it needed</w:t>
      </w:r>
      <w:r w:rsidR="00E73F33">
        <w:t xml:space="preserve"> to prove the absence of fact </w:t>
      </w:r>
      <w:r w:rsidR="00F92E29">
        <w:t xml:space="preserve">necessary for proving the essential elements of </w:t>
      </w:r>
      <w:r w:rsidR="0054520C">
        <w:t xml:space="preserve">the </w:t>
      </w:r>
      <w:r w:rsidR="00F92E29">
        <w:t xml:space="preserve">claims. </w:t>
      </w:r>
      <w:proofErr w:type="gramStart"/>
      <w:r w:rsidR="00F92E29">
        <w:t xml:space="preserve">The Ninth Circuit noted that the statutory definition </w:t>
      </w:r>
      <w:r w:rsidR="0054520C">
        <w:t xml:space="preserve">of </w:t>
      </w:r>
      <w:r w:rsidR="00F92E29">
        <w:t>trade secret is broad</w:t>
      </w:r>
      <w:r w:rsidR="0054520C">
        <w:t>,</w:t>
      </w:r>
      <w:r w:rsidR="00F92E29">
        <w:t xml:space="preserve"> where</w:t>
      </w:r>
      <w:r w:rsidR="0054520C">
        <w:t>in</w:t>
      </w:r>
      <w:r w:rsidR="00F92E29">
        <w:t xml:space="preserve"> under the DTSA, a “trade secret” is defined as: “all forms and types of financial, business, scientific, technical, economic, or engineering information, including patterns, plans, compilations, program devices, formulas, designs, prototypes, methods, techniques, processes, procedures, programs, or codes, whether tangible or intangible, and whether or how stored, compiled, or memorialized physically, electronically, graphically, photographically, or in writing.”</w:t>
      </w:r>
      <w:proofErr w:type="gramEnd"/>
      <w:r w:rsidR="00F92E29">
        <w:t xml:space="preserve"> </w:t>
      </w:r>
      <w:proofErr w:type="gramStart"/>
      <w:r w:rsidR="00F92E29">
        <w:t>So</w:t>
      </w:r>
      <w:proofErr w:type="gramEnd"/>
      <w:r w:rsidR="00F92E29">
        <w:t xml:space="preserve"> for a trade secret, three elements needed to be proved </w:t>
      </w:r>
      <w:r w:rsidR="003F0102">
        <w:t xml:space="preserve">viz. </w:t>
      </w:r>
      <w:r w:rsidR="003F0102" w:rsidRPr="003F0102">
        <w:rPr>
          <w:i/>
        </w:rPr>
        <w:t>(1) information, (2) that is valuable because it is unknown to others, and (3) that the owner has attempted to keep secret.</w:t>
      </w:r>
      <w:r w:rsidR="003F0102">
        <w:t xml:space="preserve"> </w:t>
      </w:r>
      <w:r w:rsidR="00F92E29">
        <w:t xml:space="preserve"> </w:t>
      </w:r>
    </w:p>
    <w:p w:rsidR="0037625B" w:rsidRDefault="001D5D4F">
      <w:r>
        <w:t xml:space="preserve">The Ninth Circuit held that </w:t>
      </w:r>
      <w:proofErr w:type="spellStart"/>
      <w:r w:rsidR="008727D2">
        <w:t>InteliClear</w:t>
      </w:r>
      <w:proofErr w:type="spellEnd"/>
      <w:r w:rsidRPr="001D5D4F">
        <w:t xml:space="preserve"> “described its trade secrets as `the </w:t>
      </w:r>
      <w:proofErr w:type="spellStart"/>
      <w:r w:rsidR="008727D2">
        <w:t>InteliClear</w:t>
      </w:r>
      <w:proofErr w:type="spellEnd"/>
      <w:r w:rsidRPr="001D5D4F">
        <w:t xml:space="preserve"> System’s unique design and concepts and the unique software, formulas, processes, programs, tools, techniques, tables, fields, functionality and logic by which its components interrelate and process data’.”</w:t>
      </w:r>
      <w:r>
        <w:t xml:space="preserve"> Ninth </w:t>
      </w:r>
      <w:r w:rsidR="003F0102">
        <w:t>Circuit also observed</w:t>
      </w:r>
      <w:r w:rsidRPr="001D5D4F">
        <w:t xml:space="preserve"> that </w:t>
      </w:r>
      <w:proofErr w:type="spellStart"/>
      <w:r w:rsidR="008727D2">
        <w:t>InteliClear</w:t>
      </w:r>
      <w:proofErr w:type="spellEnd"/>
      <w:r w:rsidRPr="001D5D4F">
        <w:t xml:space="preserve"> </w:t>
      </w:r>
      <w:r w:rsidR="003F0102">
        <w:t xml:space="preserve">had </w:t>
      </w:r>
      <w:r w:rsidRPr="001D5D4F">
        <w:t>put sufficient evidences to prove its trade secret by providing “specific tables, table columns, account identifies, codes and methodologies”</w:t>
      </w:r>
      <w:r>
        <w:t xml:space="preserve"> </w:t>
      </w:r>
      <w:r w:rsidR="00E8545B">
        <w:t xml:space="preserve">which a reasonable jury can find </w:t>
      </w:r>
      <w:r w:rsidR="003F0102">
        <w:t xml:space="preserve">in </w:t>
      </w:r>
      <w:r w:rsidR="00E8545B">
        <w:t xml:space="preserve">uniquely designed tables </w:t>
      </w:r>
      <w:r w:rsidR="003F0102">
        <w:t xml:space="preserve">with </w:t>
      </w:r>
      <w:r w:rsidR="00E8545B">
        <w:t xml:space="preserve">information which </w:t>
      </w:r>
      <w:r w:rsidR="003F0102">
        <w:t xml:space="preserve">is </w:t>
      </w:r>
      <w:r w:rsidR="00E8545B">
        <w:t xml:space="preserve">protectable </w:t>
      </w:r>
      <w:r w:rsidR="003F0102">
        <w:t xml:space="preserve">as </w:t>
      </w:r>
      <w:r w:rsidR="00E8545B">
        <w:t xml:space="preserve">trade secret. Turning to the observation </w:t>
      </w:r>
      <w:r w:rsidR="003F0102">
        <w:t xml:space="preserve">about </w:t>
      </w:r>
      <w:r w:rsidR="00E8545B">
        <w:t xml:space="preserve">whether </w:t>
      </w:r>
      <w:proofErr w:type="spellStart"/>
      <w:r w:rsidR="008727D2">
        <w:t>InteliClear</w:t>
      </w:r>
      <w:proofErr w:type="spellEnd"/>
      <w:r w:rsidR="00E8545B">
        <w:t xml:space="preserve"> has taken reasonable care to </w:t>
      </w:r>
      <w:r w:rsidR="003F0102">
        <w:t xml:space="preserve">render this </w:t>
      </w:r>
      <w:r w:rsidR="00E8545B">
        <w:t>information secret, Ninth Circuit not</w:t>
      </w:r>
      <w:r w:rsidR="003F0102">
        <w:t>ed that multiple evidences show</w:t>
      </w:r>
      <w:r w:rsidR="00E8545B">
        <w:t xml:space="preserve"> that </w:t>
      </w:r>
      <w:proofErr w:type="spellStart"/>
      <w:r w:rsidR="008727D2">
        <w:t>InteliClear</w:t>
      </w:r>
      <w:proofErr w:type="spellEnd"/>
      <w:r w:rsidR="00E8545B">
        <w:t xml:space="preserve"> encrypted their database and required licensees to agree </w:t>
      </w:r>
      <w:r w:rsidR="003F0102">
        <w:t xml:space="preserve">to a </w:t>
      </w:r>
      <w:r w:rsidR="00E8545B">
        <w:t>confidentiality provision</w:t>
      </w:r>
      <w:r w:rsidR="003F0102">
        <w:t>, which</w:t>
      </w:r>
      <w:r w:rsidR="00E8545B">
        <w:t xml:space="preserve"> proves that sufficient care </w:t>
      </w:r>
      <w:proofErr w:type="gramStart"/>
      <w:r w:rsidR="00E8545B">
        <w:t xml:space="preserve">was </w:t>
      </w:r>
      <w:r w:rsidR="003F0102">
        <w:t xml:space="preserve">indeed </w:t>
      </w:r>
      <w:r w:rsidR="00E8545B">
        <w:t>taken</w:t>
      </w:r>
      <w:proofErr w:type="gramEnd"/>
      <w:r w:rsidR="00E8545B">
        <w:t xml:space="preserve">. Therefore, agreeing to </w:t>
      </w:r>
      <w:proofErr w:type="spellStart"/>
      <w:r w:rsidR="008727D2">
        <w:t>InteliClear</w:t>
      </w:r>
      <w:r w:rsidR="00E8545B">
        <w:t>’s</w:t>
      </w:r>
      <w:proofErr w:type="spellEnd"/>
      <w:r w:rsidR="00E8545B">
        <w:t xml:space="preserve"> substantial evidences, Ninth Circuit concluded that the summary judgment was precipitous, premature and did not fairly permit development of the issues for resolution, </w:t>
      </w:r>
      <w:r w:rsidR="003F0102">
        <w:t>since the “non-moving party did not have</w:t>
      </w:r>
      <w:r w:rsidR="00E8545B">
        <w:t xml:space="preserve"> the opportunity to discover information that is essential to its opposition.”</w:t>
      </w:r>
    </w:p>
    <w:p w:rsidR="001C6BC7" w:rsidRDefault="009364CC">
      <w:pPr>
        <w:rPr>
          <w:rStyle w:val="Hyperlink"/>
          <w:i/>
        </w:rPr>
      </w:pPr>
      <w:hyperlink r:id="rId4" w:history="1">
        <w:proofErr w:type="spellStart"/>
        <w:r w:rsidR="007B6F49" w:rsidRPr="00BB50CA">
          <w:rPr>
            <w:rStyle w:val="Hyperlink"/>
            <w:i/>
          </w:rPr>
          <w:t>InteliClear</w:t>
        </w:r>
        <w:proofErr w:type="spellEnd"/>
        <w:r w:rsidR="007B6F49" w:rsidRPr="00BB50CA">
          <w:rPr>
            <w:rStyle w:val="Hyperlink"/>
            <w:i/>
          </w:rPr>
          <w:t>, LLC v. ETC Glob. Holdings,</w:t>
        </w:r>
        <w:r w:rsidR="007B6F49" w:rsidRPr="00BB50CA">
          <w:rPr>
            <w:rStyle w:val="Hyperlink"/>
          </w:rPr>
          <w:t xml:space="preserve"> </w:t>
        </w:r>
        <w:r w:rsidR="007B6F49" w:rsidRPr="00BB50CA">
          <w:rPr>
            <w:rStyle w:val="Hyperlink"/>
            <w:i/>
          </w:rPr>
          <w:t>978 F.3d 653 (9th Cir. 2020)</w:t>
        </w:r>
      </w:hyperlink>
    </w:p>
    <w:p w:rsidR="009364CC" w:rsidRDefault="009364CC">
      <w:pPr>
        <w:rPr>
          <w:rStyle w:val="Hyperlink"/>
          <w:i/>
        </w:rPr>
      </w:pPr>
    </w:p>
    <w:p w:rsidR="009364CC" w:rsidRDefault="009364CC" w:rsidP="009364CC">
      <w:pPr>
        <w:jc w:val="center"/>
        <w:rPr>
          <w:rStyle w:val="Hyperlink"/>
          <w:color w:val="auto"/>
        </w:rPr>
      </w:pPr>
      <w:r w:rsidRPr="009364CC">
        <w:rPr>
          <w:rStyle w:val="Hyperlink"/>
          <w:color w:val="auto"/>
        </w:rPr>
        <w:lastRenderedPageBreak/>
        <w:t xml:space="preserve">Image to </w:t>
      </w:r>
      <w:proofErr w:type="gramStart"/>
      <w:r w:rsidRPr="009364CC">
        <w:rPr>
          <w:rStyle w:val="Hyperlink"/>
          <w:color w:val="auto"/>
        </w:rPr>
        <w:t>be used</w:t>
      </w:r>
      <w:proofErr w:type="gramEnd"/>
      <w:r w:rsidRPr="009364CC">
        <w:rPr>
          <w:rStyle w:val="Hyperlink"/>
          <w:color w:val="auto"/>
        </w:rPr>
        <w:t xml:space="preserve">: </w:t>
      </w:r>
    </w:p>
    <w:p w:rsidR="009364CC" w:rsidRDefault="009364CC" w:rsidP="009364CC">
      <w:pPr>
        <w:jc w:val="center"/>
        <w:rPr>
          <w:rStyle w:val="Hyperlink"/>
          <w:color w:val="auto"/>
        </w:rPr>
      </w:pPr>
      <w:r>
        <w:rPr>
          <w:noProof/>
          <w:u w:val="single"/>
          <w:lang w:val="en-IN" w:eastAsia="en-IN"/>
        </w:rPr>
        <w:drawing>
          <wp:inline distT="0" distB="0" distL="0" distR="0">
            <wp:extent cx="5285714" cy="399047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DA%20main.png"/>
                    <pic:cNvPicPr/>
                  </pic:nvPicPr>
                  <pic:blipFill>
                    <a:blip r:embed="rId5">
                      <a:extLst>
                        <a:ext uri="{28A0092B-C50C-407E-A947-70E740481C1C}">
                          <a14:useLocalDpi xmlns:a14="http://schemas.microsoft.com/office/drawing/2010/main" val="0"/>
                        </a:ext>
                      </a:extLst>
                    </a:blip>
                    <a:stretch>
                      <a:fillRect/>
                    </a:stretch>
                  </pic:blipFill>
                  <pic:spPr>
                    <a:xfrm>
                      <a:off x="0" y="0"/>
                      <a:ext cx="5285714" cy="3990476"/>
                    </a:xfrm>
                    <a:prstGeom prst="rect">
                      <a:avLst/>
                    </a:prstGeom>
                  </pic:spPr>
                </pic:pic>
              </a:graphicData>
            </a:graphic>
          </wp:inline>
        </w:drawing>
      </w:r>
    </w:p>
    <w:p w:rsidR="009364CC" w:rsidRPr="009364CC" w:rsidRDefault="009364CC" w:rsidP="009364CC">
      <w:pPr>
        <w:jc w:val="center"/>
      </w:pPr>
      <w:r>
        <w:t xml:space="preserve">Source: </w:t>
      </w:r>
      <w:hyperlink r:id="rId6" w:history="1">
        <w:r w:rsidRPr="00DE050A">
          <w:rPr>
            <w:rStyle w:val="Hyperlink"/>
          </w:rPr>
          <w:t>https://www.semi.org/en/blogs/semi-news/designing-electronic-systems-for-future-applications</w:t>
        </w:r>
      </w:hyperlink>
      <w:r>
        <w:t xml:space="preserve"> </w:t>
      </w:r>
    </w:p>
    <w:p w:rsidR="001C6BC7" w:rsidRDefault="005159E6" w:rsidP="009364CC">
      <w:pPr>
        <w:jc w:val="center"/>
      </w:pPr>
      <w:r>
        <w:rPr>
          <w:noProof/>
          <w:lang w:val="en-IN" w:eastAsia="en-IN"/>
        </w:rPr>
        <w:drawing>
          <wp:inline distT="0" distB="0" distL="0" distR="0">
            <wp:extent cx="4085117" cy="155069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085268" cy="1550752"/>
                    </a:xfrm>
                    <a:prstGeom prst="rect">
                      <a:avLst/>
                    </a:prstGeom>
                    <a:noFill/>
                    <a:ln w="9525">
                      <a:noFill/>
                      <a:miter lim="800000"/>
                      <a:headEnd/>
                      <a:tailEnd/>
                    </a:ln>
                  </pic:spPr>
                </pic:pic>
              </a:graphicData>
            </a:graphic>
          </wp:inline>
        </w:drawing>
      </w:r>
    </w:p>
    <w:p w:rsidR="005159E6" w:rsidRDefault="005159E6" w:rsidP="009364CC">
      <w:pPr>
        <w:jc w:val="center"/>
      </w:pPr>
      <w:r>
        <w:t xml:space="preserve">Source- </w:t>
      </w:r>
      <w:bookmarkStart w:id="0" w:name="_GoBack"/>
      <w:r w:rsidR="009364CC">
        <w:fldChar w:fldCharType="begin"/>
      </w:r>
      <w:r w:rsidR="009364CC">
        <w:instrText xml:space="preserve"> HYPERLINK "</w:instrText>
      </w:r>
      <w:r w:rsidR="009364CC" w:rsidRPr="005159E6">
        <w:instrText>http://inteliclear.com/</w:instrText>
      </w:r>
      <w:r w:rsidR="009364CC">
        <w:instrText xml:space="preserve">" </w:instrText>
      </w:r>
      <w:r w:rsidR="009364CC">
        <w:fldChar w:fldCharType="separate"/>
      </w:r>
      <w:r w:rsidR="009364CC" w:rsidRPr="00DE050A">
        <w:rPr>
          <w:rStyle w:val="Hyperlink"/>
        </w:rPr>
        <w:t>http://inteliclear.com/</w:t>
      </w:r>
      <w:r w:rsidR="009364CC">
        <w:fldChar w:fldCharType="end"/>
      </w:r>
      <w:r w:rsidR="009364CC">
        <w:t xml:space="preserve"> </w:t>
      </w:r>
      <w:bookmarkEnd w:id="0"/>
    </w:p>
    <w:sectPr w:rsidR="005159E6" w:rsidSect="00844CF1">
      <w:pgSz w:w="12240" w:h="15840"/>
      <w:pgMar w:top="1440" w:right="1440" w:bottom="1440" w:left="1440" w:header="720" w:footer="720" w:gutter="0"/>
      <w:pgBorders w:offsetFrom="page">
        <w:top w:val="thinThickSmallGap" w:sz="24" w:space="24" w:color="auto"/>
        <w:left w:val="thinThickSmallGap" w:sz="24" w:space="24" w:color="auto"/>
        <w:bottom w:val="thinThickSmallGap" w:sz="24" w:space="24" w:color="auto"/>
        <w:right w:val="thinThick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DC6637"/>
    <w:rsid w:val="000007A7"/>
    <w:rsid w:val="000B08B6"/>
    <w:rsid w:val="00111260"/>
    <w:rsid w:val="00121ADC"/>
    <w:rsid w:val="00145FBA"/>
    <w:rsid w:val="00147A53"/>
    <w:rsid w:val="001C6BC7"/>
    <w:rsid w:val="001D5D4F"/>
    <w:rsid w:val="001F75B8"/>
    <w:rsid w:val="002338B3"/>
    <w:rsid w:val="002F3571"/>
    <w:rsid w:val="0037625B"/>
    <w:rsid w:val="003F0102"/>
    <w:rsid w:val="004260CA"/>
    <w:rsid w:val="004A3E3C"/>
    <w:rsid w:val="005159E6"/>
    <w:rsid w:val="00543703"/>
    <w:rsid w:val="0054520C"/>
    <w:rsid w:val="00572D9E"/>
    <w:rsid w:val="005B5D6D"/>
    <w:rsid w:val="006B597E"/>
    <w:rsid w:val="00723C6C"/>
    <w:rsid w:val="0075725E"/>
    <w:rsid w:val="00766E15"/>
    <w:rsid w:val="007A5E3C"/>
    <w:rsid w:val="007B6F49"/>
    <w:rsid w:val="008131B1"/>
    <w:rsid w:val="008332CB"/>
    <w:rsid w:val="00844CF1"/>
    <w:rsid w:val="008727D2"/>
    <w:rsid w:val="00884372"/>
    <w:rsid w:val="008C4036"/>
    <w:rsid w:val="008F1902"/>
    <w:rsid w:val="0092149D"/>
    <w:rsid w:val="009364CC"/>
    <w:rsid w:val="009A7A78"/>
    <w:rsid w:val="009E2C0D"/>
    <w:rsid w:val="00A8580E"/>
    <w:rsid w:val="00AF5F2C"/>
    <w:rsid w:val="00B94713"/>
    <w:rsid w:val="00BB50CA"/>
    <w:rsid w:val="00BF29FD"/>
    <w:rsid w:val="00C02651"/>
    <w:rsid w:val="00CC5F8A"/>
    <w:rsid w:val="00D07995"/>
    <w:rsid w:val="00D728D4"/>
    <w:rsid w:val="00D72F38"/>
    <w:rsid w:val="00DC18B7"/>
    <w:rsid w:val="00DC6637"/>
    <w:rsid w:val="00E73F33"/>
    <w:rsid w:val="00E80936"/>
    <w:rsid w:val="00E8545B"/>
    <w:rsid w:val="00EB7058"/>
    <w:rsid w:val="00F4164E"/>
    <w:rsid w:val="00F92E29"/>
    <w:rsid w:val="00FD430A"/>
    <w:rsid w:val="00FD559B"/>
    <w:rsid w:val="00FD6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BBD53"/>
  <w15:docId w15:val="{8462DD31-FD3D-4A14-AED5-D2C4864DD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Arial"/>
        <w:sz w:val="24"/>
        <w:szCs w:val="24"/>
        <w:lang w:val="en-US" w:eastAsia="en-US"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C6C"/>
  </w:style>
  <w:style w:type="paragraph" w:styleId="Heading1">
    <w:name w:val="heading 1"/>
    <w:basedOn w:val="Normal"/>
    <w:next w:val="Normal"/>
    <w:link w:val="Heading1Char"/>
    <w:uiPriority w:val="9"/>
    <w:qFormat/>
    <w:rsid w:val="001C6B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C6637"/>
    <w:pPr>
      <w:spacing w:before="100" w:beforeAutospacing="1" w:after="100" w:afterAutospacing="1" w:line="240" w:lineRule="auto"/>
      <w:jc w:val="left"/>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C6637"/>
    <w:rPr>
      <w:rFonts w:eastAsia="Times New Roman" w:cs="Times New Roman"/>
      <w:b/>
      <w:bCs/>
      <w:sz w:val="36"/>
      <w:szCs w:val="36"/>
    </w:rPr>
  </w:style>
  <w:style w:type="paragraph" w:styleId="NormalWeb">
    <w:name w:val="Normal (Web)"/>
    <w:basedOn w:val="Normal"/>
    <w:uiPriority w:val="99"/>
    <w:semiHidden/>
    <w:unhideWhenUsed/>
    <w:rsid w:val="00DC6637"/>
    <w:pPr>
      <w:spacing w:before="100" w:beforeAutospacing="1" w:after="100" w:afterAutospacing="1" w:line="240" w:lineRule="auto"/>
      <w:jc w:val="left"/>
    </w:pPr>
    <w:rPr>
      <w:rFonts w:eastAsia="Times New Roman" w:cs="Times New Roman"/>
    </w:rPr>
  </w:style>
  <w:style w:type="character" w:styleId="Emphasis">
    <w:name w:val="Emphasis"/>
    <w:basedOn w:val="DefaultParagraphFont"/>
    <w:uiPriority w:val="20"/>
    <w:qFormat/>
    <w:rsid w:val="00DC6637"/>
    <w:rPr>
      <w:i/>
      <w:iCs/>
    </w:rPr>
  </w:style>
  <w:style w:type="paragraph" w:styleId="BalloonText">
    <w:name w:val="Balloon Text"/>
    <w:basedOn w:val="Normal"/>
    <w:link w:val="BalloonTextChar"/>
    <w:uiPriority w:val="99"/>
    <w:semiHidden/>
    <w:unhideWhenUsed/>
    <w:rsid w:val="003762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25B"/>
    <w:rPr>
      <w:rFonts w:ascii="Tahoma" w:hAnsi="Tahoma" w:cs="Tahoma"/>
      <w:sz w:val="16"/>
      <w:szCs w:val="16"/>
    </w:rPr>
  </w:style>
  <w:style w:type="character" w:customStyle="1" w:styleId="Heading1Char">
    <w:name w:val="Heading 1 Char"/>
    <w:basedOn w:val="DefaultParagraphFont"/>
    <w:link w:val="Heading1"/>
    <w:uiPriority w:val="9"/>
    <w:rsid w:val="001C6BC7"/>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B50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14765">
      <w:bodyDiv w:val="1"/>
      <w:marLeft w:val="0"/>
      <w:marRight w:val="0"/>
      <w:marTop w:val="0"/>
      <w:marBottom w:val="0"/>
      <w:divBdr>
        <w:top w:val="none" w:sz="0" w:space="0" w:color="auto"/>
        <w:left w:val="none" w:sz="0" w:space="0" w:color="auto"/>
        <w:bottom w:val="none" w:sz="0" w:space="0" w:color="auto"/>
        <w:right w:val="none" w:sz="0" w:space="0" w:color="auto"/>
      </w:divBdr>
    </w:div>
    <w:div w:id="1065907487">
      <w:bodyDiv w:val="1"/>
      <w:marLeft w:val="0"/>
      <w:marRight w:val="0"/>
      <w:marTop w:val="0"/>
      <w:marBottom w:val="0"/>
      <w:divBdr>
        <w:top w:val="none" w:sz="0" w:space="0" w:color="auto"/>
        <w:left w:val="none" w:sz="0" w:space="0" w:color="auto"/>
        <w:bottom w:val="none" w:sz="0" w:space="0" w:color="auto"/>
        <w:right w:val="none" w:sz="0" w:space="0" w:color="auto"/>
      </w:divBdr>
    </w:div>
    <w:div w:id="1413043096">
      <w:bodyDiv w:val="1"/>
      <w:marLeft w:val="0"/>
      <w:marRight w:val="0"/>
      <w:marTop w:val="0"/>
      <w:marBottom w:val="0"/>
      <w:divBdr>
        <w:top w:val="none" w:sz="0" w:space="0" w:color="auto"/>
        <w:left w:val="none" w:sz="0" w:space="0" w:color="auto"/>
        <w:bottom w:val="none" w:sz="0" w:space="0" w:color="auto"/>
        <w:right w:val="none" w:sz="0" w:space="0" w:color="auto"/>
      </w:divBdr>
    </w:div>
    <w:div w:id="1447775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emi.org/en/blogs/semi-news/designing-electronic-systems-for-future-applications" TargetMode="External"/><Relationship Id="rId5" Type="http://schemas.openxmlformats.org/officeDocument/2006/relationships/image" Target="media/image1.png"/><Relationship Id="rId4" Type="http://schemas.openxmlformats.org/officeDocument/2006/relationships/hyperlink" Target="https://www.ca9.uscourts.gov/search_results.php?q=InteliClear"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344</TotalTime>
  <Pages>4</Pages>
  <Words>1223</Words>
  <Characters>6976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SARANSH</dc:creator>
  <cp:lastModifiedBy>Harsh Sharma</cp:lastModifiedBy>
  <cp:revision>21</cp:revision>
  <dcterms:created xsi:type="dcterms:W3CDTF">2021-05-28T11:41:00Z</dcterms:created>
  <dcterms:modified xsi:type="dcterms:W3CDTF">2021-07-26T06:46:00Z</dcterms:modified>
</cp:coreProperties>
</file>