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AD5" w:rsidRDefault="00547AD5" w:rsidP="00547AD5">
      <w:pPr>
        <w:pStyle w:val="NormalWeb"/>
        <w:spacing w:before="0" w:beforeAutospacing="0" w:after="200" w:afterAutospacing="0"/>
        <w:jc w:val="center"/>
      </w:pPr>
      <w:r>
        <w:rPr>
          <w:b/>
          <w:bCs/>
          <w:color w:val="000000"/>
          <w:u w:val="single"/>
        </w:rPr>
        <w:t>IONEX vs. Ion-X Glass: No Likelihood of Confusion Owing to Use in Good Faith</w:t>
      </w:r>
    </w:p>
    <w:p w:rsidR="00547AD5" w:rsidRDefault="00547AD5" w:rsidP="00547AD5">
      <w:pPr>
        <w:pStyle w:val="NormalWeb"/>
        <w:spacing w:before="0" w:beforeAutospacing="0" w:after="200" w:afterAutospacing="0"/>
        <w:jc w:val="center"/>
      </w:pPr>
      <w:r>
        <w:rPr>
          <w:b/>
          <w:bCs/>
          <w:color w:val="000000"/>
          <w:u w:val="single"/>
        </w:rPr>
        <w:t>Or</w:t>
      </w:r>
    </w:p>
    <w:p w:rsidR="00547AD5" w:rsidRDefault="00547AD5" w:rsidP="00547AD5">
      <w:pPr>
        <w:pStyle w:val="NormalWeb"/>
        <w:spacing w:before="0" w:beforeAutospacing="0" w:after="200" w:afterAutospacing="0"/>
        <w:jc w:val="center"/>
      </w:pPr>
      <w:r>
        <w:rPr>
          <w:b/>
          <w:bCs/>
          <w:color w:val="000000"/>
          <w:u w:val="single"/>
        </w:rPr>
        <w:t>“Ion-X” held to be Descriptive in Nature: Use by Apple Inc. in Good Faith, Affirms Second Circuit</w:t>
      </w:r>
    </w:p>
    <w:p w:rsidR="00547AD5" w:rsidRDefault="00547AD5" w:rsidP="00547AD5">
      <w:pPr>
        <w:pStyle w:val="NormalWeb"/>
        <w:spacing w:before="0" w:beforeAutospacing="0" w:after="200" w:afterAutospacing="0"/>
        <w:jc w:val="center"/>
      </w:pPr>
      <w:r>
        <w:rPr>
          <w:b/>
          <w:bCs/>
          <w:color w:val="000000"/>
          <w:u w:val="single"/>
        </w:rPr>
        <w:t>Or</w:t>
      </w:r>
    </w:p>
    <w:p w:rsidR="00547AD5" w:rsidRDefault="00547AD5" w:rsidP="00547AD5">
      <w:pPr>
        <w:pStyle w:val="NormalWeb"/>
        <w:spacing w:before="0" w:beforeAutospacing="0" w:after="200" w:afterAutospacing="0"/>
        <w:jc w:val="center"/>
        <w:rPr>
          <w:b/>
          <w:bCs/>
          <w:color w:val="000000"/>
          <w:u w:val="single"/>
        </w:rPr>
      </w:pPr>
      <w:r>
        <w:rPr>
          <w:b/>
          <w:bCs/>
          <w:color w:val="000000"/>
          <w:u w:val="single"/>
        </w:rPr>
        <w:t>Good Faith Use Saves the Day for Apple Inc. in IONEX vs. Ion-X</w:t>
      </w:r>
    </w:p>
    <w:p w:rsidR="00547AD5" w:rsidRDefault="00547AD5" w:rsidP="00547AD5">
      <w:pPr>
        <w:pStyle w:val="NormalWeb"/>
        <w:spacing w:before="0" w:beforeAutospacing="0" w:after="200" w:afterAutospacing="0"/>
        <w:jc w:val="center"/>
      </w:pPr>
    </w:p>
    <w:p w:rsidR="00967AE2" w:rsidRDefault="00967AE2" w:rsidP="006F56E9">
      <w:r>
        <w:t xml:space="preserve">Saxon Glass </w:t>
      </w:r>
      <w:r w:rsidR="006F56E9">
        <w:t>Technologies</w:t>
      </w:r>
      <w:r>
        <w:t>, Inc. (“Saxon”) deals in the work of chemically strengthening glass through a process of ion-exchange. Ion-exchange is "a general scientific term that describes the exchange of one type of ion . . . with another." With its work in the same field, Saxon obtained federal trademark for the mark “IONEX</w:t>
      </w:r>
      <w:r w:rsidR="006F56E9">
        <w:t>.</w:t>
      </w:r>
      <w:r>
        <w:t>”</w:t>
      </w:r>
      <w:r w:rsidR="006F56E9">
        <w:t xml:space="preserve"> Apple Inc. ("Apple") launched its Apple Watch with a glass cover strengthened by ion-exchange, for which Apple uses the term “Ion-X Glass” for describing its ion-exchange strengthened glass. In 2015, Saxon filed a suit at the United States District Court for the Western District of New York (“District Court”) (</w:t>
      </w:r>
      <w:r w:rsidR="006F56E9" w:rsidRPr="006F56E9">
        <w:rPr>
          <w:i/>
        </w:rPr>
        <w:t>Saxon Glass Techs., Inc. v. Apple Inc., 393 F. Supp. 3d 270 (W.D.N.Y. 2019</w:t>
      </w:r>
      <w:r w:rsidR="006F56E9" w:rsidRPr="00F07DE9">
        <w:t>)</w:t>
      </w:r>
      <w:r w:rsidR="00976FF6">
        <w:t xml:space="preserve"> </w:t>
      </w:r>
      <w:r w:rsidR="00976FF6" w:rsidRPr="006F56E9">
        <w:t xml:space="preserve">alleging </w:t>
      </w:r>
      <w:r w:rsidR="00976FF6">
        <w:t xml:space="preserve">trademark infringement based on </w:t>
      </w:r>
      <w:r w:rsidR="00976FF6" w:rsidRPr="006F56E9">
        <w:t>likelihood of c</w:t>
      </w:r>
      <w:r w:rsidR="00976FF6">
        <w:t xml:space="preserve">onfusion between its IONEX mark </w:t>
      </w:r>
      <w:r w:rsidR="00976FF6" w:rsidRPr="006F56E9">
        <w:t>and Apple's use</w:t>
      </w:r>
      <w:r w:rsidR="00976FF6">
        <w:t xml:space="preserve"> of the term Ion-X. </w:t>
      </w:r>
      <w:r w:rsidR="000F7C66">
        <w:t>Apple move</w:t>
      </w:r>
      <w:r w:rsidR="00A91D1C">
        <w:t xml:space="preserve"> for the summary judgment asserted that the use of the mark is fair-use and there is no likelihood of confusion. District Court granted summary judgment in favor of Apple. Aggrieved by this, Saxon appealed to the United States Court Of Appeals for t</w:t>
      </w:r>
      <w:r w:rsidR="00A91D1C" w:rsidRPr="00A91D1C">
        <w:t>he Second Circuit</w:t>
      </w:r>
      <w:r w:rsidR="00A91D1C">
        <w:t xml:space="preserve"> (“Second Circuit”) (</w:t>
      </w:r>
      <w:r w:rsidR="00A91D1C" w:rsidRPr="00A91D1C">
        <w:rPr>
          <w:i/>
        </w:rPr>
        <w:t xml:space="preserve">Saxon Glass Techs., Inc. v. </w:t>
      </w:r>
      <w:r w:rsidR="00A91D1C" w:rsidRPr="005A14F7">
        <w:rPr>
          <w:i/>
        </w:rPr>
        <w:t xml:space="preserve">Apple Inc., </w:t>
      </w:r>
      <w:r w:rsidR="005A14F7" w:rsidRPr="005A14F7">
        <w:rPr>
          <w:i/>
        </w:rPr>
        <w:t>19-2190-cv (2d Cir. Sep. 11, 2020)</w:t>
      </w:r>
      <w:r w:rsidR="00A91D1C" w:rsidRPr="005A14F7">
        <w:rPr>
          <w:i/>
        </w:rPr>
        <w:t>).</w:t>
      </w:r>
      <w:r w:rsidR="00A91D1C">
        <w:t xml:space="preserve"> Agreeing </w:t>
      </w:r>
      <w:r w:rsidR="002A6248">
        <w:t xml:space="preserve">with </w:t>
      </w:r>
      <w:r w:rsidR="00A91D1C">
        <w:t xml:space="preserve">the District Court ruling, the Second Circuit affirmed </w:t>
      </w:r>
      <w:r w:rsidR="002A6248">
        <w:t xml:space="preserve">with </w:t>
      </w:r>
      <w:r w:rsidR="008A3DB3">
        <w:t xml:space="preserve">the District Court and granted the judgment in favor of Apple. </w:t>
      </w:r>
    </w:p>
    <w:p w:rsidR="00350B38" w:rsidRDefault="008A3DB3" w:rsidP="00400456">
      <w:r>
        <w:t>The trademark obtained by Saxon was in compliance wit</w:t>
      </w:r>
      <w:r w:rsidR="002A6248">
        <w:t>h the goods/services it provides</w:t>
      </w:r>
      <w:r>
        <w:t xml:space="preserve"> with respect to the chemical treatment of glass. The service it provides is primarily </w:t>
      </w:r>
      <w:r w:rsidR="00400456">
        <w:t xml:space="preserve">for </w:t>
      </w:r>
      <w:r w:rsidR="000F7C66">
        <w:t>its businesses</w:t>
      </w:r>
      <w:r w:rsidR="00400456">
        <w:t xml:space="preserve">. Saxon is the primary provider of glass-strengthening for Gerresheimer Glass Inc.  ("Gerresheimer"). For companies, like Samsung Display and Nippon Electric Glass, Saxon has provided research and development ("R&amp;D") services. Nevertheless, the services it provided to Gerresheimer for their products have actually been released in the market. The selling of Apple Watches with the term </w:t>
      </w:r>
      <w:r w:rsidR="00400456" w:rsidRPr="006F56E9">
        <w:t>"Ion-X Glass</w:t>
      </w:r>
      <w:r w:rsidR="00400456">
        <w:t xml:space="preserve">" describes ion exchange </w:t>
      </w:r>
      <w:r w:rsidR="00400456" w:rsidRPr="006F56E9">
        <w:t>strengthened glass</w:t>
      </w:r>
      <w:r w:rsidR="00400456">
        <w:t xml:space="preserve">, with the term appearing on the back of the watches. The term is also visible on the packaging boxes consisting </w:t>
      </w:r>
      <w:r w:rsidR="002A6248">
        <w:lastRenderedPageBreak/>
        <w:t xml:space="preserve">a </w:t>
      </w:r>
      <w:r w:rsidR="00400456">
        <w:t>description such as "Composite Black" and "7000 Series Aluminum." On the Apple’s website, the term is visible explaining that the glass is "fortified at the molecular level through ion-exchange," with the appearance of Apple logo ap</w:t>
      </w:r>
      <w:r w:rsidR="00350B38">
        <w:t>pearing near the term "Ion-X." N</w:t>
      </w:r>
      <w:r w:rsidR="00400456">
        <w:t xml:space="preserve">evertheless, it has to be noted that Apple has not applied for the trademark of the term </w:t>
      </w:r>
      <w:r w:rsidR="002A6248">
        <w:t xml:space="preserve">at </w:t>
      </w:r>
      <w:r w:rsidR="00400456">
        <w:t xml:space="preserve">the </w:t>
      </w:r>
      <w:r w:rsidR="00350B38">
        <w:t xml:space="preserve">United States </w:t>
      </w:r>
      <w:r w:rsidR="00400456">
        <w:t>Pate</w:t>
      </w:r>
      <w:r w:rsidR="00350B38">
        <w:t xml:space="preserve">nt and </w:t>
      </w:r>
      <w:r w:rsidR="00400456">
        <w:t>Trademark Office (“USPTO”)</w:t>
      </w:r>
      <w:r w:rsidR="00350B38">
        <w:t xml:space="preserve">, thereby not including it in the list of trademark. </w:t>
      </w:r>
    </w:p>
    <w:p w:rsidR="00D12FDE" w:rsidRDefault="00350B38" w:rsidP="00400456">
      <w:r>
        <w:t xml:space="preserve">Alleging trademark infringement, Saxon filed </w:t>
      </w:r>
      <w:r w:rsidR="002A6248">
        <w:t xml:space="preserve">a </w:t>
      </w:r>
      <w:r>
        <w:t xml:space="preserve">suit in the District Court against Apple. It alleged that the infringement is based on </w:t>
      </w:r>
      <w:r w:rsidRPr="006F56E9">
        <w:t>likelihood of c</w:t>
      </w:r>
      <w:r>
        <w:t xml:space="preserve">onfusion between its IONEX mark </w:t>
      </w:r>
      <w:r w:rsidRPr="006F56E9">
        <w:t>and Apple's use</w:t>
      </w:r>
      <w:r>
        <w:t xml:space="preserve"> of the term Ion-X. </w:t>
      </w:r>
      <w:r w:rsidR="00D12FDE" w:rsidRPr="00D12FDE">
        <w:t>Saxon characterized that as a trademark “substantially similar in sound, appearance and connotation” to its own, and one that would confuse consumers</w:t>
      </w:r>
      <w:r w:rsidR="00D12FDE">
        <w:t xml:space="preserve">. </w:t>
      </w:r>
      <w:r>
        <w:t xml:space="preserve">Apple contended that (1) its use of Ion-X </w:t>
      </w:r>
      <w:r w:rsidRPr="006F56E9">
        <w:t xml:space="preserve">constituted </w:t>
      </w:r>
      <w:r>
        <w:t xml:space="preserve">fair use and (2) Saxon is </w:t>
      </w:r>
      <w:r w:rsidRPr="006F56E9">
        <w:t>unable to show likelihood of confusion between</w:t>
      </w:r>
      <w:r>
        <w:t xml:space="preserve"> </w:t>
      </w:r>
      <w:r w:rsidRPr="006F56E9">
        <w:t>the marks</w:t>
      </w:r>
      <w:r>
        <w:t xml:space="preserve">, and thereby it moved for summary judgment. Delving into both the ground, District Court granted summary judgment favoring Apple. District Court viewed that the usage of the mark “Ion-X” is primarily descriptive in nature and a reasonable jury could only </w:t>
      </w:r>
      <w:r w:rsidR="002A6248">
        <w:t xml:space="preserve">have </w:t>
      </w:r>
      <w:r>
        <w:t xml:space="preserve">found such use as merely descriptive. </w:t>
      </w:r>
      <w:r w:rsidR="00D12FDE">
        <w:t xml:space="preserve">Apple is not using the mark as a trademark but, rather, used it in its "descriptive sense" and in good faith. Moreover, the District Court concluded that there was no such likelihood of confusion that a reasonable jury could find and therefore agreed </w:t>
      </w:r>
      <w:r w:rsidR="002A6248">
        <w:t>to</w:t>
      </w:r>
      <w:r w:rsidR="00D12FDE">
        <w:t xml:space="preserve"> Apple’s motion of summary judgment. </w:t>
      </w:r>
    </w:p>
    <w:p w:rsidR="00B24D39" w:rsidRDefault="00B24D39" w:rsidP="00B24D39">
      <w:r>
        <w:t xml:space="preserve">The applicable law in this case will be Section 43(a) of the Lanham Act which prohibits the use in commerce of "any word, term, name, symbol, or device" that "is likely to cause confusion . . . as to the origin, sponsorship or approval" of goods or services. The plaintiff needs to prove that (1) it owns a "protectable trademark" and (2) the defendant's mark "is likely to confuse consumers as to the source of the product. Moreover for determining the likelihood of confusion, the eight factor test needs to be complied which was set forth in </w:t>
      </w:r>
      <w:r w:rsidRPr="00B24D39">
        <w:rPr>
          <w:i/>
        </w:rPr>
        <w:t>Polaroid Corp. v. Polarad Elecs.  Corp., 287  F.2d  492  (2d  Cir. 1961)</w:t>
      </w:r>
      <w:r>
        <w:t>. The test were 1) strength of the trademark; (2) similarity of the marks; (3) proximity of the products and  their  competitiveness  with  one another; (4) evidence that the senior user may  'bridge  the  gap'  by  developing  a product  for  sale  in  the  market  of  the alleged infringer's product; (5) evidence of actual  consumer  confusion;  (6)  evidence that the imitative mark was adopted in bad faith;  (7)  respective  quality  of  the products;  and  (8)  sophistication  of consumers in the relevant market.</w:t>
      </w:r>
    </w:p>
    <w:p w:rsidR="00B24D39" w:rsidRDefault="00B24D39" w:rsidP="00B24D39">
      <w:r>
        <w:lastRenderedPageBreak/>
        <w:t xml:space="preserve">The Second Circuit affirmed with the District Court that Saxon </w:t>
      </w:r>
      <w:r w:rsidR="00D94839">
        <w:t xml:space="preserve">was unable to prove the likelihood of confusion. Referring to </w:t>
      </w:r>
      <w:r w:rsidR="00D94839" w:rsidRPr="00D94839">
        <w:rPr>
          <w:i/>
        </w:rPr>
        <w:t>Sunmark, Inc. v. Ocean Spray Cranberries, Inc., 64 F.3d 1055, 1059 (7th Cir. 1995)</w:t>
      </w:r>
      <w:r w:rsidR="002A6248">
        <w:t>, it noted</w:t>
      </w:r>
      <w:r w:rsidR="002C5FDB">
        <w:t xml:space="preserve"> that the hyphenated word and acronyms can be considered descriptive for the purpose of fair use. Second Circuit, weighing the Polaroid factors, was in affirmation that the first four Polaroid Factors weighed in favor of Apple. On evaluating the fifth factor of actual confusion, District Court relied that this factor is “neutral” and weighed in favor of neither party</w:t>
      </w:r>
      <w:r w:rsidR="00ED2EDA">
        <w:t xml:space="preserve"> which was affirmed by the Second Circuit</w:t>
      </w:r>
      <w:r w:rsidR="002C5FDB">
        <w:t xml:space="preserve">. </w:t>
      </w:r>
      <w:r w:rsidR="00ED2EDA">
        <w:t xml:space="preserve">As to the sixth factor, Saxon was not able to prove that Apple acted in bad faith. Since, Saxon only appealed on the first six factors, Second Circuit did not delved into the other two factors. Moreover, the Second Circuit also agreed that Saxon’s mark is commercially and conceptually weak because it is a descriptive term through which Saxon strengthens glass. Even when Apple uses the mark with its own brand, the consumer </w:t>
      </w:r>
      <w:r w:rsidR="002F57E7">
        <w:t>can identify</w:t>
      </w:r>
      <w:r w:rsidR="00ED2EDA">
        <w:t xml:space="preserve"> the watch as</w:t>
      </w:r>
      <w:r w:rsidR="002F57E7">
        <w:t xml:space="preserve"> an A</w:t>
      </w:r>
      <w:r w:rsidR="00ED2EDA">
        <w:t>pple branded watch. The businesses of both the companies are also different where</w:t>
      </w:r>
      <w:r w:rsidR="002F57E7">
        <w:t>in</w:t>
      </w:r>
      <w:r w:rsidR="00ED2EDA">
        <w:t xml:space="preserve"> Saxon deals in glass strengthening services </w:t>
      </w:r>
      <w:r w:rsidR="002F57E7">
        <w:t>for</w:t>
      </w:r>
      <w:r w:rsidR="00ED2EDA">
        <w:t xml:space="preserve"> business</w:t>
      </w:r>
      <w:r w:rsidR="002F57E7">
        <w:t>es</w:t>
      </w:r>
      <w:r w:rsidR="00ED2EDA">
        <w:t xml:space="preserve">, whereas Apple sells electronic products directly to consumer. </w:t>
      </w:r>
      <w:r w:rsidR="002F57E7">
        <w:t>Considering</w:t>
      </w:r>
      <w:r w:rsidR="00ED2EDA">
        <w:t xml:space="preserve"> all these</w:t>
      </w:r>
      <w:r w:rsidR="002F57E7">
        <w:t xml:space="preserve"> factors, Second Circuit affirmed</w:t>
      </w:r>
      <w:r w:rsidR="00ED2EDA">
        <w:t xml:space="preserve"> the District Court judgment of granting Apple’s motion for summary judgment.  </w:t>
      </w:r>
    </w:p>
    <w:p w:rsidR="00F07DE9" w:rsidRDefault="004C2056" w:rsidP="005A14F7">
      <w:pPr>
        <w:rPr>
          <w:rStyle w:val="Hyperlink"/>
          <w:i/>
        </w:rPr>
      </w:pPr>
      <w:hyperlink r:id="rId7" w:history="1">
        <w:r w:rsidR="00390ADF" w:rsidRPr="00390ADF">
          <w:rPr>
            <w:rStyle w:val="Hyperlink"/>
            <w:i/>
          </w:rPr>
          <w:t>Saxon Glass Techs., Inc. v. Apple Inc., 19-2190-cv (2d Cir. Sep. 11, 2020</w:t>
        </w:r>
      </w:hyperlink>
    </w:p>
    <w:p w:rsidR="00547AD5" w:rsidRDefault="00547AD5" w:rsidP="005A14F7">
      <w:pPr>
        <w:rPr>
          <w:rStyle w:val="Hyperlink"/>
          <w:i/>
        </w:rPr>
      </w:pPr>
    </w:p>
    <w:p w:rsidR="00547AD5" w:rsidRDefault="00547AD5" w:rsidP="005A14F7">
      <w:pPr>
        <w:rPr>
          <w:rStyle w:val="Hyperlink"/>
          <w:i/>
        </w:rPr>
      </w:pPr>
    </w:p>
    <w:p w:rsidR="00547AD5" w:rsidRDefault="00547AD5" w:rsidP="005A14F7">
      <w:pPr>
        <w:rPr>
          <w:rStyle w:val="Hyperlink"/>
          <w:i/>
        </w:rPr>
      </w:pPr>
    </w:p>
    <w:p w:rsidR="00547AD5" w:rsidRDefault="00547AD5" w:rsidP="005A14F7">
      <w:pPr>
        <w:rPr>
          <w:rStyle w:val="Hyperlink"/>
          <w:i/>
        </w:rPr>
      </w:pPr>
    </w:p>
    <w:p w:rsidR="00547AD5" w:rsidRDefault="00547AD5" w:rsidP="005A14F7">
      <w:pPr>
        <w:rPr>
          <w:rStyle w:val="Hyperlink"/>
          <w:i/>
        </w:rPr>
      </w:pPr>
    </w:p>
    <w:p w:rsidR="00547AD5" w:rsidRDefault="00547AD5" w:rsidP="005A14F7">
      <w:pPr>
        <w:rPr>
          <w:rStyle w:val="Hyperlink"/>
          <w:i/>
        </w:rPr>
      </w:pPr>
    </w:p>
    <w:p w:rsidR="00547AD5" w:rsidRDefault="00547AD5" w:rsidP="005A14F7">
      <w:pPr>
        <w:rPr>
          <w:rStyle w:val="Hyperlink"/>
          <w:i/>
        </w:rPr>
      </w:pPr>
    </w:p>
    <w:p w:rsidR="00547AD5" w:rsidRDefault="00547AD5" w:rsidP="005A14F7">
      <w:pPr>
        <w:rPr>
          <w:rStyle w:val="Hyperlink"/>
          <w:i/>
        </w:rPr>
      </w:pPr>
    </w:p>
    <w:p w:rsidR="00547AD5" w:rsidRDefault="00547AD5" w:rsidP="005A14F7">
      <w:pPr>
        <w:rPr>
          <w:rStyle w:val="Hyperlink"/>
          <w:i/>
        </w:rPr>
      </w:pPr>
    </w:p>
    <w:p w:rsidR="00547AD5" w:rsidRPr="00547AD5" w:rsidRDefault="00547AD5" w:rsidP="00547AD5">
      <w:pPr>
        <w:jc w:val="center"/>
      </w:pPr>
      <w:r>
        <w:rPr>
          <w:rStyle w:val="Hyperlink"/>
          <w:color w:val="auto"/>
          <w:u w:val="none"/>
        </w:rPr>
        <w:lastRenderedPageBreak/>
        <w:t>Image to be used:</w:t>
      </w:r>
    </w:p>
    <w:p w:rsidR="00F00444" w:rsidRDefault="00F00444" w:rsidP="005A14F7">
      <w:r>
        <w:rPr>
          <w:noProof/>
          <w:lang w:val="en-IN" w:eastAsia="en-IN"/>
        </w:rPr>
        <w:drawing>
          <wp:inline distT="0" distB="0" distL="0" distR="0">
            <wp:extent cx="5943600" cy="3134771"/>
            <wp:effectExtent l="19050" t="0" r="0" b="0"/>
            <wp:docPr id="1" name="Picture 1" descr="https://9to5mac.com/wp-content/uploads/sites/6/2015/04/mjccevnc-large.jpg?quality=82&amp;strip=all&amp;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9to5mac.com/wp-content/uploads/sites/6/2015/04/mjccevnc-large.jpg?quality=82&amp;strip=all&amp;w=1024"/>
                    <pic:cNvPicPr>
                      <a:picLocks noChangeAspect="1" noChangeArrowheads="1"/>
                    </pic:cNvPicPr>
                  </pic:nvPicPr>
                  <pic:blipFill>
                    <a:blip r:embed="rId8"/>
                    <a:srcRect/>
                    <a:stretch>
                      <a:fillRect/>
                    </a:stretch>
                  </pic:blipFill>
                  <pic:spPr bwMode="auto">
                    <a:xfrm>
                      <a:off x="0" y="0"/>
                      <a:ext cx="5943600" cy="3134771"/>
                    </a:xfrm>
                    <a:prstGeom prst="rect">
                      <a:avLst/>
                    </a:prstGeom>
                    <a:noFill/>
                    <a:ln w="9525">
                      <a:noFill/>
                      <a:miter lim="800000"/>
                      <a:headEnd/>
                      <a:tailEnd/>
                    </a:ln>
                  </pic:spPr>
                </pic:pic>
              </a:graphicData>
            </a:graphic>
          </wp:inline>
        </w:drawing>
      </w:r>
    </w:p>
    <w:p w:rsidR="00F00444" w:rsidRPr="005A14F7" w:rsidRDefault="00F00444" w:rsidP="00547AD5">
      <w:pPr>
        <w:jc w:val="center"/>
      </w:pPr>
      <w:r>
        <w:t>S</w:t>
      </w:r>
      <w:bookmarkStart w:id="0" w:name="_GoBack"/>
      <w:bookmarkEnd w:id="0"/>
      <w:r>
        <w:t xml:space="preserve">ource- </w:t>
      </w:r>
      <w:hyperlink r:id="rId9" w:history="1">
        <w:r w:rsidR="00547AD5" w:rsidRPr="00674043">
          <w:rPr>
            <w:rStyle w:val="Hyperlink"/>
          </w:rPr>
          <w:t>https://9to5mac.com/2015/04/21/apple-watch-sport-ion-x-glass-scratch-test-video/</w:t>
        </w:r>
      </w:hyperlink>
    </w:p>
    <w:sectPr w:rsidR="00F00444" w:rsidRPr="005A14F7" w:rsidSect="000348E0">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056" w:rsidRDefault="004C2056" w:rsidP="00155814">
      <w:pPr>
        <w:spacing w:after="0" w:line="240" w:lineRule="auto"/>
      </w:pPr>
      <w:r>
        <w:separator/>
      </w:r>
    </w:p>
  </w:endnote>
  <w:endnote w:type="continuationSeparator" w:id="0">
    <w:p w:rsidR="004C2056" w:rsidRDefault="004C2056" w:rsidP="0015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056" w:rsidRDefault="004C2056" w:rsidP="00155814">
      <w:pPr>
        <w:spacing w:after="0" w:line="240" w:lineRule="auto"/>
      </w:pPr>
      <w:r>
        <w:separator/>
      </w:r>
    </w:p>
  </w:footnote>
  <w:footnote w:type="continuationSeparator" w:id="0">
    <w:p w:rsidR="004C2056" w:rsidRDefault="004C2056" w:rsidP="00155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07DE9"/>
    <w:rsid w:val="000348E0"/>
    <w:rsid w:val="000D52E9"/>
    <w:rsid w:val="000F7C66"/>
    <w:rsid w:val="00144929"/>
    <w:rsid w:val="00145FBA"/>
    <w:rsid w:val="00155814"/>
    <w:rsid w:val="002A6248"/>
    <w:rsid w:val="002C5FDB"/>
    <w:rsid w:val="002F57E7"/>
    <w:rsid w:val="00350B38"/>
    <w:rsid w:val="00390ADF"/>
    <w:rsid w:val="00400456"/>
    <w:rsid w:val="00463DE0"/>
    <w:rsid w:val="004C2056"/>
    <w:rsid w:val="00546695"/>
    <w:rsid w:val="00547AD5"/>
    <w:rsid w:val="005A14F7"/>
    <w:rsid w:val="005C5D6B"/>
    <w:rsid w:val="00626394"/>
    <w:rsid w:val="006A25B9"/>
    <w:rsid w:val="006F400D"/>
    <w:rsid w:val="006F56E9"/>
    <w:rsid w:val="00723C6C"/>
    <w:rsid w:val="007A5E3C"/>
    <w:rsid w:val="00815823"/>
    <w:rsid w:val="008332CB"/>
    <w:rsid w:val="00840109"/>
    <w:rsid w:val="00840C81"/>
    <w:rsid w:val="00872917"/>
    <w:rsid w:val="008A3DB3"/>
    <w:rsid w:val="00967AE2"/>
    <w:rsid w:val="00976FF6"/>
    <w:rsid w:val="009D039C"/>
    <w:rsid w:val="00A37833"/>
    <w:rsid w:val="00A91D1C"/>
    <w:rsid w:val="00AC035C"/>
    <w:rsid w:val="00AF6347"/>
    <w:rsid w:val="00B24D39"/>
    <w:rsid w:val="00C547E8"/>
    <w:rsid w:val="00C703B4"/>
    <w:rsid w:val="00CC1C08"/>
    <w:rsid w:val="00D12FDE"/>
    <w:rsid w:val="00D94839"/>
    <w:rsid w:val="00D96763"/>
    <w:rsid w:val="00ED2EDA"/>
    <w:rsid w:val="00F00444"/>
    <w:rsid w:val="00F07DE9"/>
    <w:rsid w:val="00F17BF7"/>
    <w:rsid w:val="00F25525"/>
    <w:rsid w:val="00FB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F231"/>
  <w15:docId w15:val="{29142020-DA83-4E09-8BC0-418A3FD2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6C"/>
  </w:style>
  <w:style w:type="paragraph" w:styleId="Heading1">
    <w:name w:val="heading 1"/>
    <w:basedOn w:val="Normal"/>
    <w:link w:val="Heading1Char"/>
    <w:uiPriority w:val="9"/>
    <w:qFormat/>
    <w:rsid w:val="00F07DE9"/>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58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DE9"/>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81582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15823"/>
    <w:pPr>
      <w:spacing w:before="100" w:beforeAutospacing="1" w:after="100" w:afterAutospacing="1" w:line="240" w:lineRule="auto"/>
      <w:jc w:val="left"/>
    </w:pPr>
    <w:rPr>
      <w:rFonts w:eastAsia="Times New Roman" w:cs="Times New Roman"/>
    </w:rPr>
  </w:style>
  <w:style w:type="character" w:styleId="Hyperlink">
    <w:name w:val="Hyperlink"/>
    <w:basedOn w:val="DefaultParagraphFont"/>
    <w:uiPriority w:val="99"/>
    <w:unhideWhenUsed/>
    <w:rsid w:val="00815823"/>
    <w:rPr>
      <w:color w:val="0000FF"/>
      <w:u w:val="single"/>
    </w:rPr>
  </w:style>
  <w:style w:type="paragraph" w:styleId="Header">
    <w:name w:val="header"/>
    <w:basedOn w:val="Normal"/>
    <w:link w:val="HeaderChar"/>
    <w:uiPriority w:val="99"/>
    <w:semiHidden/>
    <w:unhideWhenUsed/>
    <w:rsid w:val="001558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5814"/>
  </w:style>
  <w:style w:type="paragraph" w:styleId="Footer">
    <w:name w:val="footer"/>
    <w:basedOn w:val="Normal"/>
    <w:link w:val="FooterChar"/>
    <w:uiPriority w:val="99"/>
    <w:semiHidden/>
    <w:unhideWhenUsed/>
    <w:rsid w:val="001558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5814"/>
  </w:style>
  <w:style w:type="paragraph" w:styleId="BalloonText">
    <w:name w:val="Balloon Text"/>
    <w:basedOn w:val="Normal"/>
    <w:link w:val="BalloonTextChar"/>
    <w:uiPriority w:val="99"/>
    <w:semiHidden/>
    <w:unhideWhenUsed/>
    <w:rsid w:val="00F00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45425">
      <w:bodyDiv w:val="1"/>
      <w:marLeft w:val="0"/>
      <w:marRight w:val="0"/>
      <w:marTop w:val="0"/>
      <w:marBottom w:val="0"/>
      <w:divBdr>
        <w:top w:val="none" w:sz="0" w:space="0" w:color="auto"/>
        <w:left w:val="none" w:sz="0" w:space="0" w:color="auto"/>
        <w:bottom w:val="none" w:sz="0" w:space="0" w:color="auto"/>
        <w:right w:val="none" w:sz="0" w:space="0" w:color="auto"/>
      </w:divBdr>
    </w:div>
    <w:div w:id="749079513">
      <w:bodyDiv w:val="1"/>
      <w:marLeft w:val="0"/>
      <w:marRight w:val="0"/>
      <w:marTop w:val="0"/>
      <w:marBottom w:val="0"/>
      <w:divBdr>
        <w:top w:val="none" w:sz="0" w:space="0" w:color="auto"/>
        <w:left w:val="none" w:sz="0" w:space="0" w:color="auto"/>
        <w:bottom w:val="none" w:sz="0" w:space="0" w:color="auto"/>
        <w:right w:val="none" w:sz="0" w:space="0" w:color="auto"/>
      </w:divBdr>
    </w:div>
    <w:div w:id="1783647911">
      <w:bodyDiv w:val="1"/>
      <w:marLeft w:val="0"/>
      <w:marRight w:val="0"/>
      <w:marTop w:val="0"/>
      <w:marBottom w:val="0"/>
      <w:divBdr>
        <w:top w:val="none" w:sz="0" w:space="0" w:color="auto"/>
        <w:left w:val="none" w:sz="0" w:space="0" w:color="auto"/>
        <w:bottom w:val="none" w:sz="0" w:space="0" w:color="auto"/>
        <w:right w:val="none" w:sz="0" w:space="0" w:color="auto"/>
      </w:divBdr>
    </w:div>
    <w:div w:id="19331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asetext.com/case/saxon-glass-techs-inc-v-apple-inc-2?__cf_chl_jschl_tk__=186b51da67ec59a6d777c568d8ce75dfd3e462f4-1623340816-0-AQJIk3CaCl9I0QceKEVT5CvSWCAVhb9JkVIIqGh2FYROWxhV_ZGibE4ZL5wt74KWeWfztg-W2bZzsMmVQSZhLkib4ULIg2eJ2S4Rle6WoXZOgt3JVBTMs6h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9to5mac.com/2015/04/21/apple-watch-sport-ion-x-glass-scratch-test-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C304A-209E-4809-A391-4D220DCB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SARANSH</dc:creator>
  <cp:lastModifiedBy>Harsh Sharma</cp:lastModifiedBy>
  <cp:revision>24</cp:revision>
  <dcterms:created xsi:type="dcterms:W3CDTF">2021-05-30T12:19:00Z</dcterms:created>
  <dcterms:modified xsi:type="dcterms:W3CDTF">2021-07-26T06:30:00Z</dcterms:modified>
</cp:coreProperties>
</file>